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B22D2" w:rsidP="006B22D2">
            <w:pPr>
              <w:rPr>
                <w:b/>
              </w:rPr>
            </w:pPr>
            <w:r>
              <w:rPr>
                <w:rStyle w:val="Firstpagetablebold"/>
              </w:rPr>
              <w:t>17 March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B22D2" w:rsidP="006B22D2">
            <w:pPr>
              <w:rPr>
                <w:rStyle w:val="Firstpagetablebold"/>
              </w:rPr>
            </w:pPr>
            <w:r>
              <w:rPr>
                <w:rStyle w:val="Firstpagetablebold"/>
              </w:rPr>
              <w:t xml:space="preserve">Head of Housing and Property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B22D2" w:rsidP="006B22D2">
            <w:pPr>
              <w:rPr>
                <w:rStyle w:val="Firstpagetablebold"/>
              </w:rPr>
            </w:pPr>
            <w:r>
              <w:rPr>
                <w:rStyle w:val="Firstpagetablebold"/>
              </w:rPr>
              <w:t>Review of Older Persons Accommodation/Review of Sheltered Housing</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B22D2" w:rsidP="00525F21">
            <w:r>
              <w:t xml:space="preserve">To </w:t>
            </w:r>
            <w:r w:rsidR="00CF538E">
              <w:t>present the R</w:t>
            </w:r>
            <w:r w:rsidR="00AD4A5D">
              <w:t>eview</w:t>
            </w:r>
            <w:r w:rsidR="00CF538E">
              <w:t xml:space="preserve"> of Older Persons Accommodation in Oxford (Appendix 1) </w:t>
            </w:r>
            <w:r w:rsidR="00AD4A5D">
              <w:t>and to request</w:t>
            </w:r>
            <w:r w:rsidR="00525F21">
              <w:t xml:space="preserve"> that</w:t>
            </w:r>
            <w:r w:rsidR="00AD4A5D">
              <w:t xml:space="preserve"> the City Executive Board </w:t>
            </w:r>
            <w:r w:rsidR="007F026D">
              <w:t>note</w:t>
            </w:r>
            <w:r w:rsidR="00AD4A5D">
              <w:t xml:space="preserve"> the </w:t>
            </w:r>
            <w:r w:rsidR="007F026D">
              <w:t xml:space="preserve">contents of the </w:t>
            </w:r>
            <w:r w:rsidR="00CE0037">
              <w:t xml:space="preserve">review and </w:t>
            </w:r>
            <w:r w:rsidR="007F026D">
              <w:t>approve the r</w:t>
            </w:r>
            <w:r w:rsidR="00AD4A5D">
              <w:t>ecommendations</w:t>
            </w:r>
            <w:r w:rsidR="007F026D">
              <w:t xml:space="preserve"> within it</w:t>
            </w:r>
            <w:r w:rsidR="00CF538E">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6B22D2">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AD4A5D">
            <w:r w:rsidRPr="001356F1">
              <w:t xml:space="preserve">Councillor </w:t>
            </w:r>
            <w:r w:rsidR="00AD4A5D">
              <w:t>Mike Rowley, Board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F35F9" w:rsidP="005F7F7E">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1323B" w:rsidP="0001323B">
            <w:r>
              <w:t>Housing Strategy 2015- 2018</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977B13" w:rsidP="00CF538E">
            <w:r>
              <w:rPr>
                <w:rStyle w:val="Firstpagetablebold"/>
              </w:rPr>
              <w:t xml:space="preserve">Note </w:t>
            </w:r>
            <w:r w:rsidR="0001323B">
              <w:rPr>
                <w:rStyle w:val="Firstpagetablebold"/>
              </w:rPr>
              <w:t>the contents of the Review of Older Persons Accommodation</w:t>
            </w:r>
            <w:r w:rsidR="00986D16">
              <w:rPr>
                <w:rStyle w:val="Firstpagetablebold"/>
              </w:rPr>
              <w:t xml:space="preserve"> in Oxford</w:t>
            </w:r>
            <w:r w:rsidR="00CF538E">
              <w:rPr>
                <w:rStyle w:val="Firstpagetablebold"/>
              </w:rPr>
              <w:t>,</w:t>
            </w:r>
            <w:r w:rsidR="00997047">
              <w:rPr>
                <w:rStyle w:val="Firstpagetablebold"/>
              </w:rPr>
              <w:t xml:space="preserve"> </w:t>
            </w:r>
            <w:r w:rsidR="00CF538E">
              <w:rPr>
                <w:rStyle w:val="Firstpagetablebold"/>
              </w:rPr>
              <w:t>attached as A</w:t>
            </w:r>
            <w:r w:rsidR="00997047">
              <w:rPr>
                <w:rStyle w:val="Firstpagetablebold"/>
              </w:rPr>
              <w:t>ppendix 1</w:t>
            </w:r>
            <w:r w:rsidR="00CF538E">
              <w:rPr>
                <w:rStyle w:val="Firstpagetablebold"/>
              </w:rPr>
              <w:t xml:space="preserve"> to this report</w:t>
            </w:r>
            <w:r w:rsidR="0001323B">
              <w:rPr>
                <w:rStyle w:val="Firstpagetablebold"/>
              </w:rPr>
              <w:t xml:space="preserve">; </w:t>
            </w:r>
            <w:r w:rsidR="00986D16">
              <w:rPr>
                <w:rStyle w:val="Firstpagetablebold"/>
              </w:rPr>
              <w:t>and</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01323B" w:rsidP="007F026D">
            <w:r>
              <w:rPr>
                <w:rStyle w:val="Firstpagetablebold"/>
              </w:rPr>
              <w:t xml:space="preserve">Approve the recommendations </w:t>
            </w:r>
            <w:r w:rsidR="00977B13">
              <w:rPr>
                <w:rStyle w:val="Firstpagetablebold"/>
              </w:rPr>
              <w:t xml:space="preserve">as </w:t>
            </w:r>
            <w:r w:rsidR="00986D16">
              <w:rPr>
                <w:rStyle w:val="Firstpagetablebold"/>
              </w:rPr>
              <w:t>set out</w:t>
            </w:r>
            <w:r>
              <w:rPr>
                <w:rStyle w:val="Firstpagetablebold"/>
              </w:rPr>
              <w:t xml:space="preserve"> in section 13 of the </w:t>
            </w:r>
            <w:r w:rsidR="00CF538E">
              <w:rPr>
                <w:rStyle w:val="Firstpagetablebold"/>
              </w:rPr>
              <w:t xml:space="preserve">review document (Appendix </w:t>
            </w:r>
            <w:r w:rsidR="00997047">
              <w:rPr>
                <w:rStyle w:val="Firstpagetablebold"/>
              </w:rPr>
              <w:t>1)</w:t>
            </w:r>
            <w:r>
              <w:rPr>
                <w:rStyle w:val="Firstpagetablebold"/>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2C457C">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8" w:space="0" w:color="000000"/>
              <w:right w:val="single" w:sz="8" w:space="0" w:color="000000"/>
            </w:tcBorders>
          </w:tcPr>
          <w:p w:rsidR="00ED5860" w:rsidRPr="001356F1" w:rsidRDefault="00986D16" w:rsidP="00986D16">
            <w:r>
              <w:t>Review of Older Persons Accommodation in Oxford</w:t>
            </w:r>
          </w:p>
        </w:tc>
      </w:tr>
      <w:tr w:rsidR="002C457C" w:rsidRPr="00975B07" w:rsidTr="00A46E98">
        <w:tc>
          <w:tcPr>
            <w:tcW w:w="2438" w:type="dxa"/>
            <w:tcBorders>
              <w:top w:val="single" w:sz="8" w:space="0" w:color="000000"/>
              <w:left w:val="single" w:sz="8" w:space="0" w:color="000000"/>
              <w:bottom w:val="nil"/>
              <w:right w:val="nil"/>
            </w:tcBorders>
            <w:shd w:val="clear" w:color="auto" w:fill="auto"/>
          </w:tcPr>
          <w:p w:rsidR="002C457C" w:rsidRPr="00975B07" w:rsidRDefault="002C457C" w:rsidP="004A6D2F">
            <w:r>
              <w:t>Appendix 2</w:t>
            </w:r>
          </w:p>
        </w:tc>
        <w:tc>
          <w:tcPr>
            <w:tcW w:w="6406" w:type="dxa"/>
            <w:tcBorders>
              <w:top w:val="single" w:sz="8" w:space="0" w:color="000000"/>
              <w:left w:val="nil"/>
              <w:bottom w:val="nil"/>
              <w:right w:val="single" w:sz="8" w:space="0" w:color="000000"/>
            </w:tcBorders>
          </w:tcPr>
          <w:p w:rsidR="002C457C" w:rsidRDefault="002C457C" w:rsidP="00986D16">
            <w: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0011DF" w:rsidRPr="003321E3" w:rsidRDefault="000011DF" w:rsidP="000011DF">
      <w:pPr>
        <w:pStyle w:val="ListParagraph"/>
      </w:pPr>
      <w:r w:rsidRPr="003321E3">
        <w:t>The population of the UK is ageing. People are living much longer</w:t>
      </w:r>
      <w:r w:rsidR="00997047">
        <w:t xml:space="preserve"> and whilst this </w:t>
      </w:r>
      <w:r w:rsidRPr="003321E3">
        <w:t>brings opportunities</w:t>
      </w:r>
      <w:r w:rsidR="00997047">
        <w:t>, it</w:t>
      </w:r>
      <w:r w:rsidRPr="003321E3">
        <w:t xml:space="preserve"> also results in more specific needs among older generations especially in terms of care and support. Suitable accommodation plays an important role in helping older people to liv</w:t>
      </w:r>
      <w:r w:rsidR="008E6396">
        <w:t>e</w:t>
      </w:r>
      <w:r w:rsidRPr="003321E3">
        <w:t xml:space="preserve"> independently for longer, but the housing needs and aspirations of older people can vary significantly depending on age, health, finances, transport needs, and availability of </w:t>
      </w:r>
      <w:r w:rsidR="00710AE4">
        <w:t>support</w:t>
      </w:r>
      <w:r w:rsidRPr="003321E3">
        <w:t xml:space="preserve"> from family or </w:t>
      </w:r>
      <w:r w:rsidR="00710AE4">
        <w:t xml:space="preserve">other </w:t>
      </w:r>
      <w:r w:rsidRPr="003321E3">
        <w:t>networks.</w:t>
      </w:r>
    </w:p>
    <w:p w:rsidR="000011DF" w:rsidRPr="00E11E1E" w:rsidRDefault="000011DF" w:rsidP="00997047">
      <w:pPr>
        <w:pStyle w:val="ListParagraph"/>
      </w:pPr>
      <w:r>
        <w:lastRenderedPageBreak/>
        <w:t>With this in mind, the City Council’s Housing Strategy 2015-2018</w:t>
      </w:r>
      <w:r w:rsidR="00F16089">
        <w:t>,</w:t>
      </w:r>
      <w:r w:rsidR="00CC2229">
        <w:t xml:space="preserve"> </w:t>
      </w:r>
      <w:r w:rsidR="005C2B7F">
        <w:t xml:space="preserve">committed </w:t>
      </w:r>
      <w:r w:rsidRPr="00E11E1E">
        <w:t>to undertak</w:t>
      </w:r>
      <w:r w:rsidR="005C2B7F">
        <w:t>ing</w:t>
      </w:r>
      <w:r w:rsidRPr="00E11E1E">
        <w:t xml:space="preserve"> a review of accommodation for older people in Oxford.</w:t>
      </w:r>
      <w:r>
        <w:t xml:space="preserve"> </w:t>
      </w:r>
      <w:r w:rsidR="00997047">
        <w:t xml:space="preserve">Officers have now </w:t>
      </w:r>
      <w:r w:rsidR="005C2B7F">
        <w:t>completed</w:t>
      </w:r>
      <w:r w:rsidR="00997047" w:rsidRPr="00997047">
        <w:t xml:space="preserve"> </w:t>
      </w:r>
      <w:r w:rsidR="00997047">
        <w:t>the</w:t>
      </w:r>
      <w:r w:rsidR="00997047" w:rsidRPr="00997047">
        <w:t xml:space="preserve"> review </w:t>
      </w:r>
      <w:r w:rsidR="00CF538E">
        <w:t xml:space="preserve">which </w:t>
      </w:r>
      <w:r w:rsidR="00997047" w:rsidRPr="00997047">
        <w:t>considers the need/demand and current supply of sheltered and other housing options for older people aged 55+ in Oxford</w:t>
      </w:r>
      <w:r w:rsidR="002A4EA7">
        <w:t xml:space="preserve">, alongside </w:t>
      </w:r>
      <w:r w:rsidR="00997047" w:rsidRPr="00997047">
        <w:t>the</w:t>
      </w:r>
      <w:r w:rsidR="0086357E">
        <w:t xml:space="preserve"> competing </w:t>
      </w:r>
      <w:r w:rsidR="00997047" w:rsidRPr="00997047">
        <w:t xml:space="preserve">pressures </w:t>
      </w:r>
      <w:r w:rsidR="0086357E">
        <w:t>of</w:t>
      </w:r>
      <w:r w:rsidR="00AB763B">
        <w:t>:</w:t>
      </w:r>
      <w:r w:rsidR="00997047" w:rsidRPr="00997047">
        <w:t xml:space="preserve"> high hous</w:t>
      </w:r>
      <w:r w:rsidR="0086357E">
        <w:t>ing costs</w:t>
      </w:r>
      <w:r w:rsidR="00997047" w:rsidRPr="00997047">
        <w:t>; high levels of general housing demand; reduced budgets (County Council and Oxford City Council)</w:t>
      </w:r>
      <w:r w:rsidR="00600577" w:rsidRPr="00600577">
        <w:t xml:space="preserve"> </w:t>
      </w:r>
      <w:r w:rsidR="00600577" w:rsidRPr="00997047">
        <w:t xml:space="preserve">and </w:t>
      </w:r>
      <w:r w:rsidR="00600577">
        <w:t xml:space="preserve">a </w:t>
      </w:r>
      <w:r w:rsidR="00600577" w:rsidRPr="00997047">
        <w:t>complex</w:t>
      </w:r>
      <w:r w:rsidR="001E3579">
        <w:t xml:space="preserve"> and changing legislative and policy framework</w:t>
      </w:r>
      <w:r w:rsidR="00600577" w:rsidRPr="00997047">
        <w:t xml:space="preserve"> (Housing and Planning Bill and Care Act 2014)</w:t>
      </w:r>
      <w:r w:rsidR="00997047" w:rsidRPr="00997047">
        <w:t xml:space="preserve">. </w:t>
      </w:r>
      <w:r>
        <w:t xml:space="preserve"> The </w:t>
      </w:r>
      <w:r w:rsidR="00997047">
        <w:t xml:space="preserve">findings of the review and recommendations for action are presented in </w:t>
      </w:r>
      <w:r>
        <w:t>Appendix 1</w:t>
      </w:r>
      <w:r w:rsidR="00997047">
        <w:t>.</w:t>
      </w:r>
      <w:r>
        <w:t xml:space="preserve">   </w:t>
      </w:r>
      <w:r w:rsidRPr="00E11E1E">
        <w:t xml:space="preserve"> </w:t>
      </w:r>
    </w:p>
    <w:p w:rsidR="00EC3334" w:rsidRPr="001356F1" w:rsidRDefault="00EC3334" w:rsidP="00385848">
      <w:pPr>
        <w:pStyle w:val="Heading1"/>
      </w:pPr>
      <w:r>
        <w:t>Purpose and Scope of the Review</w:t>
      </w:r>
    </w:p>
    <w:p w:rsidR="000011DF" w:rsidRPr="00E11E1E" w:rsidRDefault="00EC3334" w:rsidP="00385848">
      <w:pPr>
        <w:pStyle w:val="ListParagraph"/>
      </w:pPr>
      <w:r>
        <w:t xml:space="preserve">The </w:t>
      </w:r>
      <w:r w:rsidR="00F16089">
        <w:t xml:space="preserve">scope </w:t>
      </w:r>
      <w:r w:rsidR="000011DF" w:rsidRPr="00EC3334">
        <w:t xml:space="preserve">of the review </w:t>
      </w:r>
      <w:r w:rsidR="00AC3CC4">
        <w:t>wa</w:t>
      </w:r>
      <w:r w:rsidR="000011DF" w:rsidRPr="00E11E1E">
        <w:t>s to</w:t>
      </w:r>
      <w:r w:rsidR="00F16089">
        <w:t>:</w:t>
      </w:r>
    </w:p>
    <w:p w:rsidR="000011DF" w:rsidRPr="00E11E1E" w:rsidRDefault="000011DF" w:rsidP="000011DF">
      <w:pPr>
        <w:pStyle w:val="ListParagraph"/>
        <w:numPr>
          <w:ilvl w:val="0"/>
          <w:numId w:val="34"/>
        </w:numPr>
        <w:tabs>
          <w:tab w:val="clear" w:pos="426"/>
        </w:tabs>
        <w:spacing w:after="0"/>
        <w:contextualSpacing/>
      </w:pPr>
      <w:r w:rsidRPr="00E11E1E">
        <w:t>Understand the position in terms of current need/demand for accommodation</w:t>
      </w:r>
      <w:r w:rsidR="00F16089">
        <w:t xml:space="preserve"> that is</w:t>
      </w:r>
      <w:r w:rsidRPr="00E11E1E">
        <w:t xml:space="preserve"> suitable for older people,</w:t>
      </w:r>
      <w:r w:rsidR="00F16089">
        <w:t xml:space="preserve"> the</w:t>
      </w:r>
      <w:r w:rsidRPr="00E11E1E">
        <w:t xml:space="preserve"> preferred tenure</w:t>
      </w:r>
      <w:r w:rsidR="00F16089">
        <w:t>,</w:t>
      </w:r>
      <w:r w:rsidRPr="00E11E1E">
        <w:t xml:space="preserve"> and levels of under-occupation</w:t>
      </w:r>
      <w:r w:rsidR="00EC3334">
        <w:t>.</w:t>
      </w:r>
      <w:r w:rsidRPr="00E11E1E">
        <w:t xml:space="preserve"> </w:t>
      </w:r>
    </w:p>
    <w:p w:rsidR="000011DF" w:rsidRPr="00E11E1E" w:rsidRDefault="000011DF" w:rsidP="000011DF">
      <w:pPr>
        <w:pStyle w:val="ListParagraph"/>
        <w:numPr>
          <w:ilvl w:val="0"/>
          <w:numId w:val="34"/>
        </w:numPr>
        <w:tabs>
          <w:tab w:val="clear" w:pos="426"/>
        </w:tabs>
        <w:spacing w:after="0"/>
        <w:contextualSpacing/>
      </w:pPr>
      <w:r w:rsidRPr="00E11E1E">
        <w:t xml:space="preserve">Understand the current supply and condition of available stock. </w:t>
      </w:r>
    </w:p>
    <w:p w:rsidR="000011DF" w:rsidRPr="00E11E1E" w:rsidRDefault="000011DF" w:rsidP="000011DF">
      <w:pPr>
        <w:pStyle w:val="ListParagraph"/>
        <w:numPr>
          <w:ilvl w:val="0"/>
          <w:numId w:val="34"/>
        </w:numPr>
        <w:tabs>
          <w:tab w:val="clear" w:pos="426"/>
        </w:tabs>
        <w:spacing w:after="0"/>
        <w:contextualSpacing/>
      </w:pPr>
      <w:r w:rsidRPr="00E11E1E">
        <w:t>Understand the</w:t>
      </w:r>
      <w:r w:rsidR="00EC3334">
        <w:t xml:space="preserve"> type of housing required and accommodation aspirations for the future in relation to people aged 55+ e.g. </w:t>
      </w:r>
      <w:r w:rsidRPr="00E11E1E">
        <w:t>requirement</w:t>
      </w:r>
      <w:r w:rsidR="00EC3334">
        <w:t>s</w:t>
      </w:r>
      <w:r w:rsidRPr="00E11E1E">
        <w:t xml:space="preserve"> for </w:t>
      </w:r>
      <w:r w:rsidR="002A4EA7">
        <w:t xml:space="preserve">accessible and adaptable </w:t>
      </w:r>
      <w:r w:rsidRPr="00E11E1E">
        <w:t xml:space="preserve">homes, designated housing for older people, sheltered or extra care </w:t>
      </w:r>
      <w:r w:rsidR="00F16089">
        <w:t xml:space="preserve">housing, </w:t>
      </w:r>
      <w:r w:rsidRPr="00E11E1E">
        <w:t xml:space="preserve">general needs, and private housing. </w:t>
      </w:r>
    </w:p>
    <w:p w:rsidR="000011DF" w:rsidRDefault="000011DF" w:rsidP="000011DF">
      <w:pPr>
        <w:pStyle w:val="ListParagraph"/>
        <w:numPr>
          <w:ilvl w:val="0"/>
          <w:numId w:val="34"/>
        </w:numPr>
        <w:tabs>
          <w:tab w:val="clear" w:pos="426"/>
        </w:tabs>
        <w:spacing w:after="0"/>
        <w:contextualSpacing/>
      </w:pPr>
      <w:r w:rsidRPr="00E11E1E">
        <w:t xml:space="preserve">To develop an evidence base and analysis that can be used to inform Council strategies and plans, and </w:t>
      </w:r>
      <w:r w:rsidR="004C1052">
        <w:t>facilitate</w:t>
      </w:r>
      <w:r w:rsidRPr="00E11E1E">
        <w:t xml:space="preserve"> effective asset management and development decisions, </w:t>
      </w:r>
      <w:r w:rsidR="004C1052">
        <w:t xml:space="preserve">taking into account </w:t>
      </w:r>
      <w:r w:rsidRPr="00E11E1E">
        <w:t>some spatial considerations for certain localities</w:t>
      </w:r>
      <w:r w:rsidR="00EC3334">
        <w:t xml:space="preserve">. </w:t>
      </w:r>
    </w:p>
    <w:p w:rsidR="00EC3334" w:rsidRDefault="00EC3334" w:rsidP="00A0773B">
      <w:pPr>
        <w:pStyle w:val="ListParagraph"/>
        <w:numPr>
          <w:ilvl w:val="0"/>
          <w:numId w:val="0"/>
        </w:numPr>
        <w:spacing w:after="0"/>
        <w:ind w:left="720"/>
        <w:contextualSpacing/>
      </w:pPr>
    </w:p>
    <w:p w:rsidR="000011DF" w:rsidRPr="00E11E1E" w:rsidRDefault="002A4EA7" w:rsidP="00F16089">
      <w:pPr>
        <w:pStyle w:val="ListParagraph"/>
      </w:pPr>
      <w:r>
        <w:t xml:space="preserve">At the request </w:t>
      </w:r>
      <w:r w:rsidR="000011DF" w:rsidRPr="00E11E1E">
        <w:t>of the</w:t>
      </w:r>
      <w:r w:rsidR="00F16089">
        <w:t xml:space="preserve"> Housing Panel (Panel of the Scrutiny Committee)</w:t>
      </w:r>
      <w:r w:rsidR="000011DF" w:rsidRPr="00E11E1E">
        <w:t>,</w:t>
      </w:r>
      <w:r>
        <w:t xml:space="preserve"> the scope of the review was extended </w:t>
      </w:r>
      <w:r w:rsidR="000011DF" w:rsidRPr="00E11E1E">
        <w:t>to include the needs and housing requirements of older people in the private sector.</w:t>
      </w:r>
    </w:p>
    <w:p w:rsidR="00F16089" w:rsidRDefault="00F16089" w:rsidP="00385848">
      <w:pPr>
        <w:pStyle w:val="Heading1"/>
      </w:pPr>
      <w:r>
        <w:t>The Review Process</w:t>
      </w:r>
    </w:p>
    <w:p w:rsidR="00997047" w:rsidRDefault="00B87875" w:rsidP="00385848">
      <w:pPr>
        <w:pStyle w:val="ListParagraph"/>
        <w:rPr>
          <w:rFonts w:cs="Arial"/>
          <w:color w:val="auto"/>
          <w:lang w:eastAsia="en-US"/>
        </w:rPr>
      </w:pPr>
      <w:r>
        <w:rPr>
          <w:lang w:eastAsia="en-US"/>
        </w:rPr>
        <w:t>T</w:t>
      </w:r>
      <w:r w:rsidR="00CF538E">
        <w:rPr>
          <w:lang w:eastAsia="en-US"/>
        </w:rPr>
        <w:t>o inform the R</w:t>
      </w:r>
      <w:r w:rsidR="00997047">
        <w:rPr>
          <w:lang w:eastAsia="en-US"/>
        </w:rPr>
        <w:t xml:space="preserve">eview, consideration has been given to the national </w:t>
      </w:r>
      <w:r w:rsidR="00997047" w:rsidRPr="00997047">
        <w:rPr>
          <w:lang w:eastAsia="en-US"/>
        </w:rPr>
        <w:t>and local</w:t>
      </w:r>
      <w:r w:rsidR="00997047">
        <w:rPr>
          <w:lang w:eastAsia="en-US"/>
        </w:rPr>
        <w:t xml:space="preserve"> </w:t>
      </w:r>
      <w:r w:rsidR="00FE4622">
        <w:rPr>
          <w:lang w:eastAsia="en-US"/>
        </w:rPr>
        <w:t xml:space="preserve">data and </w:t>
      </w:r>
      <w:r w:rsidR="00746FAC">
        <w:rPr>
          <w:lang w:eastAsia="en-US"/>
        </w:rPr>
        <w:t xml:space="preserve">topic-related </w:t>
      </w:r>
      <w:r w:rsidR="00FE4622">
        <w:rPr>
          <w:lang w:eastAsia="en-US"/>
        </w:rPr>
        <w:t xml:space="preserve">research </w:t>
      </w:r>
      <w:r w:rsidR="00997047">
        <w:rPr>
          <w:lang w:eastAsia="en-US"/>
        </w:rPr>
        <w:t xml:space="preserve">available. In addition, a </w:t>
      </w:r>
      <w:r w:rsidR="00FE4622">
        <w:rPr>
          <w:lang w:eastAsia="en-US"/>
        </w:rPr>
        <w:t xml:space="preserve">consultation survey </w:t>
      </w:r>
      <w:r w:rsidR="00F77E8F">
        <w:rPr>
          <w:lang w:eastAsia="en-US"/>
        </w:rPr>
        <w:t>was</w:t>
      </w:r>
      <w:r w:rsidR="00FE4622">
        <w:rPr>
          <w:lang w:eastAsia="en-US"/>
        </w:rPr>
        <w:t xml:space="preserve"> undertaken to identify </w:t>
      </w:r>
      <w:r w:rsidR="00997047" w:rsidRPr="00997047">
        <w:rPr>
          <w:rFonts w:cs="Arial"/>
          <w:color w:val="auto"/>
          <w:lang w:eastAsia="en-US"/>
        </w:rPr>
        <w:t>the current needs and future housing aspirations of people aged 55+ who live in Oxford, or who need to live in Oxford</w:t>
      </w:r>
      <w:r w:rsidR="00FE4622" w:rsidRPr="00FE4622">
        <w:rPr>
          <w:rFonts w:cs="Arial"/>
          <w:color w:val="auto"/>
          <w:lang w:eastAsia="en-US"/>
        </w:rPr>
        <w:t xml:space="preserve">. Feedback </w:t>
      </w:r>
      <w:r w:rsidR="00CF538E">
        <w:rPr>
          <w:rFonts w:cs="Arial"/>
          <w:color w:val="auto"/>
          <w:lang w:eastAsia="en-US"/>
        </w:rPr>
        <w:t xml:space="preserve">obtained </w:t>
      </w:r>
      <w:r w:rsidR="00FE4622" w:rsidRPr="00FE4622">
        <w:rPr>
          <w:rFonts w:cs="Arial"/>
          <w:color w:val="auto"/>
          <w:lang w:eastAsia="en-US"/>
        </w:rPr>
        <w:t xml:space="preserve">from </w:t>
      </w:r>
      <w:r w:rsidR="00887250">
        <w:rPr>
          <w:rFonts w:cs="Arial"/>
          <w:color w:val="auto"/>
          <w:lang w:eastAsia="en-US"/>
        </w:rPr>
        <w:t>the survey</w:t>
      </w:r>
      <w:r w:rsidR="00B302FD">
        <w:rPr>
          <w:rFonts w:cs="Arial"/>
          <w:color w:val="auto"/>
          <w:lang w:eastAsia="en-US"/>
        </w:rPr>
        <w:t>,</w:t>
      </w:r>
      <w:r w:rsidR="00887250">
        <w:rPr>
          <w:rFonts w:cs="Arial"/>
          <w:color w:val="auto"/>
          <w:lang w:eastAsia="en-US"/>
        </w:rPr>
        <w:t xml:space="preserve"> plus the feedback received from </w:t>
      </w:r>
      <w:r w:rsidR="00FE4622" w:rsidRPr="00FE4622">
        <w:rPr>
          <w:rFonts w:cs="Arial"/>
          <w:color w:val="auto"/>
          <w:lang w:eastAsia="en-US"/>
        </w:rPr>
        <w:t>stake</w:t>
      </w:r>
      <w:r w:rsidR="00997047" w:rsidRPr="00997047">
        <w:rPr>
          <w:rFonts w:cs="Arial"/>
          <w:color w:val="auto"/>
          <w:lang w:eastAsia="en-US"/>
        </w:rPr>
        <w:t xml:space="preserve">holder and </w:t>
      </w:r>
      <w:r w:rsidR="00FE4622" w:rsidRPr="00FE4622">
        <w:rPr>
          <w:rFonts w:cs="Arial"/>
          <w:color w:val="auto"/>
          <w:lang w:eastAsia="en-US"/>
        </w:rPr>
        <w:t>f</w:t>
      </w:r>
      <w:r w:rsidR="00997047" w:rsidRPr="00997047">
        <w:rPr>
          <w:rFonts w:cs="Arial"/>
          <w:color w:val="auto"/>
          <w:lang w:eastAsia="en-US"/>
        </w:rPr>
        <w:t xml:space="preserve">ocus </w:t>
      </w:r>
      <w:r w:rsidR="00FE4622" w:rsidRPr="00FE4622">
        <w:rPr>
          <w:rFonts w:cs="Arial"/>
          <w:color w:val="auto"/>
          <w:lang w:eastAsia="en-US"/>
        </w:rPr>
        <w:t>g</w:t>
      </w:r>
      <w:r w:rsidR="00997047" w:rsidRPr="00997047">
        <w:rPr>
          <w:rFonts w:cs="Arial"/>
          <w:color w:val="auto"/>
          <w:lang w:eastAsia="en-US"/>
        </w:rPr>
        <w:t>roups</w:t>
      </w:r>
      <w:r w:rsidR="00B302FD">
        <w:rPr>
          <w:rFonts w:cs="Arial"/>
          <w:color w:val="auto"/>
          <w:lang w:eastAsia="en-US"/>
        </w:rPr>
        <w:t>,</w:t>
      </w:r>
      <w:r w:rsidR="00FE4622" w:rsidRPr="00FE4622">
        <w:rPr>
          <w:rFonts w:cs="Arial"/>
          <w:color w:val="auto"/>
          <w:lang w:eastAsia="en-US"/>
        </w:rPr>
        <w:t xml:space="preserve"> ha</w:t>
      </w:r>
      <w:r w:rsidR="00FE4622">
        <w:rPr>
          <w:rFonts w:cs="Arial"/>
          <w:color w:val="auto"/>
          <w:lang w:eastAsia="en-US"/>
        </w:rPr>
        <w:t>s</w:t>
      </w:r>
      <w:r w:rsidR="00FE4622" w:rsidRPr="00FE4622">
        <w:rPr>
          <w:rFonts w:cs="Arial"/>
          <w:color w:val="auto"/>
          <w:lang w:eastAsia="en-US"/>
        </w:rPr>
        <w:t xml:space="preserve"> informed the findings </w:t>
      </w:r>
      <w:r w:rsidR="00FE4622">
        <w:rPr>
          <w:rFonts w:cs="Arial"/>
          <w:color w:val="auto"/>
          <w:lang w:eastAsia="en-US"/>
        </w:rPr>
        <w:t>and recommendations</w:t>
      </w:r>
      <w:r w:rsidR="00260E99">
        <w:rPr>
          <w:rFonts w:cs="Arial"/>
          <w:color w:val="auto"/>
          <w:lang w:eastAsia="en-US"/>
        </w:rPr>
        <w:t xml:space="preserve"> of</w:t>
      </w:r>
      <w:r w:rsidR="00FE4622">
        <w:rPr>
          <w:rFonts w:cs="Arial"/>
          <w:color w:val="auto"/>
          <w:lang w:eastAsia="en-US"/>
        </w:rPr>
        <w:t xml:space="preserve"> the review</w:t>
      </w:r>
      <w:r w:rsidR="00260E99">
        <w:rPr>
          <w:rFonts w:cs="Arial"/>
          <w:color w:val="auto"/>
          <w:lang w:eastAsia="en-US"/>
        </w:rPr>
        <w:t>.</w:t>
      </w:r>
      <w:r w:rsidR="00FE4622">
        <w:rPr>
          <w:rFonts w:cs="Arial"/>
          <w:color w:val="auto"/>
          <w:lang w:eastAsia="en-US"/>
        </w:rPr>
        <w:t xml:space="preserve"> </w:t>
      </w:r>
    </w:p>
    <w:p w:rsidR="00FE4622" w:rsidRDefault="00FE4622" w:rsidP="00FE4622">
      <w:pPr>
        <w:pStyle w:val="ListParagraph"/>
        <w:ind w:left="425" w:hanging="425"/>
        <w:rPr>
          <w:rFonts w:cs="Arial"/>
          <w:color w:val="auto"/>
          <w:lang w:eastAsia="en-US"/>
        </w:rPr>
      </w:pPr>
      <w:r w:rsidRPr="00FE4622">
        <w:rPr>
          <w:rFonts w:cs="Arial"/>
          <w:color w:val="auto"/>
          <w:lang w:eastAsia="en-US"/>
        </w:rPr>
        <w:t xml:space="preserve">Over </w:t>
      </w:r>
      <w:r w:rsidR="00997047" w:rsidRPr="00997047">
        <w:rPr>
          <w:rFonts w:cs="Arial"/>
          <w:color w:val="auto"/>
          <w:lang w:eastAsia="en-US"/>
        </w:rPr>
        <w:t>500</w:t>
      </w:r>
      <w:r w:rsidRPr="00FE4622">
        <w:rPr>
          <w:rFonts w:cs="Arial"/>
          <w:color w:val="auto"/>
          <w:lang w:eastAsia="en-US"/>
        </w:rPr>
        <w:t xml:space="preserve"> survey </w:t>
      </w:r>
      <w:r w:rsidR="00997047" w:rsidRPr="00997047">
        <w:rPr>
          <w:rFonts w:cs="Arial"/>
          <w:color w:val="auto"/>
          <w:lang w:eastAsia="en-US"/>
        </w:rPr>
        <w:t>responses (10%)</w:t>
      </w:r>
      <w:r w:rsidRPr="00FE4622">
        <w:rPr>
          <w:rFonts w:cs="Arial"/>
          <w:color w:val="auto"/>
          <w:lang w:eastAsia="en-US"/>
        </w:rPr>
        <w:t xml:space="preserve"> were received</w:t>
      </w:r>
      <w:r w:rsidR="00997047" w:rsidRPr="00997047">
        <w:rPr>
          <w:rFonts w:cs="Arial"/>
          <w:color w:val="auto"/>
          <w:lang w:eastAsia="en-US"/>
        </w:rPr>
        <w:t>.</w:t>
      </w:r>
      <w:r w:rsidR="00997047" w:rsidRPr="00997047">
        <w:rPr>
          <w:rFonts w:cs="Arial"/>
          <w:b/>
          <w:color w:val="auto"/>
          <w:lang w:eastAsia="en-US"/>
        </w:rPr>
        <w:t xml:space="preserve"> </w:t>
      </w:r>
      <w:r w:rsidRPr="00FE4622">
        <w:rPr>
          <w:rFonts w:cs="Arial"/>
          <w:color w:val="auto"/>
          <w:lang w:eastAsia="en-US"/>
        </w:rPr>
        <w:t>Appendix 1 provide</w:t>
      </w:r>
      <w:r w:rsidR="00385848">
        <w:rPr>
          <w:rFonts w:cs="Arial"/>
          <w:color w:val="auto"/>
          <w:lang w:eastAsia="en-US"/>
        </w:rPr>
        <w:t>s</w:t>
      </w:r>
      <w:r w:rsidRPr="00FE4622">
        <w:rPr>
          <w:rFonts w:cs="Arial"/>
          <w:color w:val="auto"/>
          <w:lang w:eastAsia="en-US"/>
        </w:rPr>
        <w:t xml:space="preserve"> a</w:t>
      </w:r>
      <w:r w:rsidRPr="00FE4622">
        <w:rPr>
          <w:rFonts w:cs="Arial"/>
          <w:b/>
          <w:color w:val="auto"/>
          <w:lang w:eastAsia="en-US"/>
        </w:rPr>
        <w:t xml:space="preserve"> </w:t>
      </w:r>
      <w:r w:rsidR="00997047" w:rsidRPr="00997047">
        <w:rPr>
          <w:rFonts w:cs="Arial"/>
          <w:color w:val="auto"/>
          <w:lang w:eastAsia="en-US"/>
        </w:rPr>
        <w:t>more detailed analysis of the survey responses.</w:t>
      </w:r>
      <w:r>
        <w:rPr>
          <w:rFonts w:cs="Arial"/>
          <w:color w:val="auto"/>
          <w:lang w:eastAsia="en-US"/>
        </w:rPr>
        <w:t xml:space="preserve"> </w:t>
      </w:r>
    </w:p>
    <w:p w:rsidR="00FE4622" w:rsidRDefault="00FE4622" w:rsidP="00FE4622">
      <w:pPr>
        <w:pStyle w:val="ListParagraph"/>
        <w:ind w:left="425" w:hanging="425"/>
        <w:rPr>
          <w:rFonts w:cs="Arial"/>
          <w:color w:val="auto"/>
          <w:lang w:eastAsia="en-US"/>
        </w:rPr>
      </w:pPr>
      <w:r w:rsidRPr="00FE4622">
        <w:rPr>
          <w:rFonts w:cs="Arial"/>
          <w:color w:val="auto"/>
          <w:lang w:eastAsia="en-US"/>
        </w:rPr>
        <w:t xml:space="preserve">Information on Oxford City Council </w:t>
      </w:r>
      <w:r>
        <w:rPr>
          <w:rFonts w:cs="Arial"/>
          <w:color w:val="auto"/>
          <w:lang w:eastAsia="en-US"/>
        </w:rPr>
        <w:t>s</w:t>
      </w:r>
      <w:r w:rsidRPr="00FE4622">
        <w:rPr>
          <w:rFonts w:cs="Arial"/>
          <w:color w:val="auto"/>
          <w:lang w:eastAsia="en-US"/>
        </w:rPr>
        <w:t>tock was analysed</w:t>
      </w:r>
      <w:r w:rsidR="00385848">
        <w:rPr>
          <w:rFonts w:cs="Arial"/>
          <w:color w:val="auto"/>
          <w:lang w:eastAsia="en-US"/>
        </w:rPr>
        <w:t>,</w:t>
      </w:r>
      <w:r w:rsidRPr="00FE4622">
        <w:rPr>
          <w:rFonts w:cs="Arial"/>
          <w:color w:val="auto"/>
          <w:lang w:eastAsia="en-US"/>
        </w:rPr>
        <w:t xml:space="preserve"> and </w:t>
      </w:r>
      <w:r>
        <w:rPr>
          <w:rFonts w:cs="Arial"/>
          <w:color w:val="auto"/>
          <w:lang w:eastAsia="en-US"/>
        </w:rPr>
        <w:t>R</w:t>
      </w:r>
      <w:r w:rsidR="00997047" w:rsidRPr="00997047">
        <w:rPr>
          <w:rFonts w:cs="Arial"/>
          <w:color w:val="auto"/>
          <w:lang w:eastAsia="en-US"/>
        </w:rPr>
        <w:t xml:space="preserve">egistered </w:t>
      </w:r>
      <w:r>
        <w:rPr>
          <w:rFonts w:cs="Arial"/>
          <w:color w:val="auto"/>
          <w:lang w:eastAsia="en-US"/>
        </w:rPr>
        <w:t>P</w:t>
      </w:r>
      <w:r w:rsidR="00997047" w:rsidRPr="00997047">
        <w:rPr>
          <w:rFonts w:cs="Arial"/>
          <w:color w:val="auto"/>
          <w:lang w:eastAsia="en-US"/>
        </w:rPr>
        <w:t>roviders were asked for statistical data and</w:t>
      </w:r>
      <w:r>
        <w:rPr>
          <w:rFonts w:cs="Arial"/>
          <w:color w:val="auto"/>
          <w:lang w:eastAsia="en-US"/>
        </w:rPr>
        <w:t xml:space="preserve"> information about </w:t>
      </w:r>
      <w:r w:rsidR="00997047" w:rsidRPr="00997047">
        <w:rPr>
          <w:rFonts w:cs="Arial"/>
          <w:color w:val="auto"/>
          <w:lang w:eastAsia="en-US"/>
        </w:rPr>
        <w:t>their stock</w:t>
      </w:r>
      <w:r>
        <w:rPr>
          <w:rFonts w:cs="Arial"/>
          <w:color w:val="auto"/>
          <w:lang w:eastAsia="en-US"/>
        </w:rPr>
        <w:t xml:space="preserve"> and a</w:t>
      </w:r>
      <w:r w:rsidR="00997047" w:rsidRPr="00997047">
        <w:rPr>
          <w:rFonts w:cs="Arial"/>
          <w:color w:val="auto"/>
          <w:lang w:eastAsia="en-US"/>
        </w:rPr>
        <w:t xml:space="preserve">sset management plans. </w:t>
      </w:r>
    </w:p>
    <w:p w:rsidR="00997047" w:rsidRDefault="00FE4622" w:rsidP="00FE4622">
      <w:pPr>
        <w:pStyle w:val="ListParagraph"/>
        <w:ind w:left="425" w:hanging="425"/>
        <w:rPr>
          <w:rFonts w:cs="Arial"/>
          <w:color w:val="auto"/>
          <w:lang w:eastAsia="en-US"/>
        </w:rPr>
      </w:pPr>
      <w:r>
        <w:rPr>
          <w:rFonts w:cs="Arial"/>
          <w:color w:val="auto"/>
          <w:lang w:eastAsia="en-US"/>
        </w:rPr>
        <w:t xml:space="preserve">The review </w:t>
      </w:r>
      <w:r w:rsidR="00260E99">
        <w:rPr>
          <w:rFonts w:cs="Arial"/>
          <w:color w:val="auto"/>
          <w:lang w:eastAsia="en-US"/>
        </w:rPr>
        <w:t>was undertaken</w:t>
      </w:r>
      <w:r>
        <w:rPr>
          <w:rFonts w:cs="Arial"/>
          <w:color w:val="auto"/>
          <w:lang w:eastAsia="en-US"/>
        </w:rPr>
        <w:t xml:space="preserve"> </w:t>
      </w:r>
      <w:r w:rsidR="00986F97">
        <w:rPr>
          <w:rFonts w:cs="Arial"/>
          <w:color w:val="auto"/>
          <w:lang w:eastAsia="en-US"/>
        </w:rPr>
        <w:t>by City Council officers with overs</w:t>
      </w:r>
      <w:r w:rsidR="00C01D44">
        <w:rPr>
          <w:rFonts w:cs="Arial"/>
          <w:color w:val="auto"/>
          <w:lang w:eastAsia="en-US"/>
        </w:rPr>
        <w:t>ight</w:t>
      </w:r>
      <w:r w:rsidR="00986F97">
        <w:rPr>
          <w:rFonts w:cs="Arial"/>
          <w:color w:val="auto"/>
          <w:lang w:eastAsia="en-US"/>
        </w:rPr>
        <w:t xml:space="preserve"> and support </w:t>
      </w:r>
      <w:r w:rsidR="00C01D44">
        <w:rPr>
          <w:rFonts w:cs="Arial"/>
          <w:color w:val="auto"/>
          <w:lang w:eastAsia="en-US"/>
        </w:rPr>
        <w:t>from</w:t>
      </w:r>
      <w:r>
        <w:rPr>
          <w:rFonts w:cs="Arial"/>
          <w:color w:val="auto"/>
          <w:lang w:eastAsia="en-US"/>
        </w:rPr>
        <w:t xml:space="preserve"> a steering group comprising City Council officers</w:t>
      </w:r>
      <w:r w:rsidR="00986F97">
        <w:rPr>
          <w:rFonts w:cs="Arial"/>
          <w:color w:val="auto"/>
          <w:lang w:eastAsia="en-US"/>
        </w:rPr>
        <w:t xml:space="preserve"> from various service areas,</w:t>
      </w:r>
      <w:r>
        <w:rPr>
          <w:rFonts w:cs="Arial"/>
          <w:color w:val="auto"/>
          <w:lang w:eastAsia="en-US"/>
        </w:rPr>
        <w:t xml:space="preserve"> and Councillors.  </w:t>
      </w:r>
      <w:r w:rsidR="00997047" w:rsidRPr="00997047">
        <w:rPr>
          <w:rFonts w:cs="Arial"/>
          <w:color w:val="auto"/>
          <w:lang w:eastAsia="en-US"/>
        </w:rPr>
        <w:t xml:space="preserve"> </w:t>
      </w:r>
    </w:p>
    <w:p w:rsidR="00B302FD" w:rsidRPr="00997047" w:rsidRDefault="00B302FD" w:rsidP="00B302FD">
      <w:pPr>
        <w:pStyle w:val="ListParagraph"/>
        <w:numPr>
          <w:ilvl w:val="0"/>
          <w:numId w:val="0"/>
        </w:numPr>
        <w:ind w:left="425"/>
        <w:rPr>
          <w:rFonts w:cs="Arial"/>
          <w:color w:val="auto"/>
          <w:lang w:eastAsia="en-US"/>
        </w:rPr>
      </w:pPr>
    </w:p>
    <w:p w:rsidR="00385848" w:rsidRDefault="00986F97" w:rsidP="00385848">
      <w:pPr>
        <w:pStyle w:val="Heading1"/>
        <w:spacing w:before="0"/>
      </w:pPr>
      <w:r>
        <w:t>Main findings of the review</w:t>
      </w:r>
    </w:p>
    <w:p w:rsidR="00986F97" w:rsidRDefault="00986F97" w:rsidP="00385848">
      <w:pPr>
        <w:pStyle w:val="ListParagraph"/>
      </w:pPr>
      <w:r>
        <w:lastRenderedPageBreak/>
        <w:t>Oxford's population is relatively young compared to its neighbouring Districts. This trend is set to continue through to 2030 according to the population projections</w:t>
      </w:r>
      <w:r w:rsidR="00977B13">
        <w:t>.</w:t>
      </w:r>
      <w:r>
        <w:t xml:space="preserve"> However, people are living longer and over the next 15 years there will be an increase in the number of older people resident in the City, with the highest level of increase being in the 75+ age group. Although there will be an increase in the older population in Oxford, the growth is not expected to be as high as that estimated for other Oxfordshire Districts. However</w:t>
      </w:r>
      <w:r w:rsidR="00C01D44">
        <w:t>,</w:t>
      </w:r>
      <w:r>
        <w:t xml:space="preserve"> any increase in the older population is likely to affect the demand for and delivery of all services, including housing and support. </w:t>
      </w:r>
    </w:p>
    <w:p w:rsidR="00986F97" w:rsidRDefault="00986F97" w:rsidP="00986F97">
      <w:pPr>
        <w:pStyle w:val="ListParagraph"/>
      </w:pPr>
      <w:r>
        <w:t xml:space="preserve">In terms of supply and demand, it appears that there is an over provision of sheltered </w:t>
      </w:r>
      <w:r w:rsidR="00676246">
        <w:t xml:space="preserve">and designated 55+ </w:t>
      </w:r>
      <w:r>
        <w:t>accommodation and some schemes are unpopular due to the need for refurbishment/modernisation. The need/demand for sheltered schemes and Extra Care Housing (ECH) appears to be generally low, with small waiting lists for ECH and sheltered housing carrying void</w:t>
      </w:r>
      <w:r w:rsidR="00C17C35">
        <w:t>s</w:t>
      </w:r>
      <w:r>
        <w:t xml:space="preserve"> at times. The 75+ age group is most likely to need access to </w:t>
      </w:r>
      <w:r w:rsidR="00385848">
        <w:t>S</w:t>
      </w:r>
      <w:r>
        <w:t xml:space="preserve">heltered and ECH. </w:t>
      </w:r>
    </w:p>
    <w:p w:rsidR="002C179D" w:rsidRDefault="00986F97" w:rsidP="00986F97">
      <w:pPr>
        <w:pStyle w:val="ListParagraph"/>
      </w:pPr>
      <w:r>
        <w:t xml:space="preserve">The County Council’s Market Position Statement on ECH </w:t>
      </w:r>
      <w:r w:rsidR="00385848">
        <w:t>(</w:t>
      </w:r>
      <w:r w:rsidR="003E67FC">
        <w:t xml:space="preserve">MPS, </w:t>
      </w:r>
      <w:r w:rsidR="00385848">
        <w:t xml:space="preserve">March 2014) </w:t>
      </w:r>
      <w:r w:rsidR="00676246">
        <w:t>estimates a requirement</w:t>
      </w:r>
      <w:r w:rsidR="00887250">
        <w:t xml:space="preserve"> f</w:t>
      </w:r>
      <w:r w:rsidR="00676246">
        <w:t>or additional</w:t>
      </w:r>
      <w:r w:rsidR="00887250">
        <w:t xml:space="preserve"> </w:t>
      </w:r>
      <w:r w:rsidR="00676246">
        <w:t>ECH units</w:t>
      </w:r>
      <w:r w:rsidR="00793174">
        <w:t xml:space="preserve"> (approximately</w:t>
      </w:r>
      <w:r w:rsidR="003E67FC">
        <w:t xml:space="preserve"> 242</w:t>
      </w:r>
      <w:r w:rsidR="00793174">
        <w:t xml:space="preserve">) </w:t>
      </w:r>
      <w:r w:rsidR="00676246">
        <w:t>to be provided in the City</w:t>
      </w:r>
      <w:r w:rsidR="00887250">
        <w:t xml:space="preserve"> in the short term</w:t>
      </w:r>
      <w:r w:rsidR="00676246">
        <w:t>, however</w:t>
      </w:r>
      <w:r w:rsidR="00C17C35">
        <w:t>,</w:t>
      </w:r>
      <w:r w:rsidR="00676246">
        <w:t xml:space="preserve"> this document </w:t>
      </w:r>
      <w:r>
        <w:t>need</w:t>
      </w:r>
      <w:r w:rsidR="00385848">
        <w:t xml:space="preserve">s to be </w:t>
      </w:r>
      <w:r>
        <w:t>updat</w:t>
      </w:r>
      <w:r w:rsidR="00385848">
        <w:t>ed</w:t>
      </w:r>
      <w:r>
        <w:t>. There are developments of ECH underway in the county</w:t>
      </w:r>
      <w:r w:rsidR="00385848">
        <w:t xml:space="preserve"> </w:t>
      </w:r>
      <w:r w:rsidR="00DE78E4">
        <w:t>that</w:t>
      </w:r>
      <w:r w:rsidR="00385848">
        <w:t xml:space="preserve"> are due for completion in 2016-17</w:t>
      </w:r>
      <w:r w:rsidR="00B302FD">
        <w:t xml:space="preserve"> (details </w:t>
      </w:r>
      <w:r w:rsidR="00B25A68">
        <w:t xml:space="preserve">of which </w:t>
      </w:r>
      <w:r w:rsidR="00B302FD">
        <w:t xml:space="preserve">can be found in </w:t>
      </w:r>
      <w:r w:rsidR="00522388">
        <w:t>Sections 7 and 8 of Appendix 1)</w:t>
      </w:r>
      <w:r>
        <w:t>.</w:t>
      </w:r>
      <w:r w:rsidR="003E67FC">
        <w:t xml:space="preserve"> The MPS, March 2014 also indicates that for the period 2016-20, plans have been approved for 93 units of Extra Care Housing in West Oxfordshire and feasibility assessments </w:t>
      </w:r>
      <w:r w:rsidR="00226223">
        <w:t xml:space="preserve">are </w:t>
      </w:r>
      <w:r w:rsidR="003E67FC">
        <w:t xml:space="preserve">being undertaken for other development </w:t>
      </w:r>
      <w:r w:rsidR="00DE78E4">
        <w:t>opportunities</w:t>
      </w:r>
      <w:r w:rsidR="003E67FC">
        <w:t xml:space="preserve"> across the county. </w:t>
      </w:r>
      <w:r>
        <w:t>Therefore it is especially important to understand the impact and residual need for ECH in Oxford City once all of the ECH units</w:t>
      </w:r>
      <w:r w:rsidR="00226223">
        <w:t xml:space="preserve"> that are currently </w:t>
      </w:r>
      <w:r w:rsidR="00DE78E4">
        <w:t>being developed</w:t>
      </w:r>
      <w:r w:rsidR="00226223">
        <w:t>,</w:t>
      </w:r>
      <w:r>
        <w:t xml:space="preserve"> </w:t>
      </w:r>
      <w:r w:rsidR="00385848">
        <w:t>ha</w:t>
      </w:r>
      <w:r>
        <w:t>ve been completed and occupied</w:t>
      </w:r>
      <w:r w:rsidR="00DE78E4">
        <w:t>.</w:t>
      </w:r>
    </w:p>
    <w:p w:rsidR="00676246" w:rsidRDefault="00DE78E4" w:rsidP="00986F97">
      <w:pPr>
        <w:pStyle w:val="ListParagraph"/>
      </w:pPr>
      <w:r>
        <w:t>An update of the MPS, March 2014 should</w:t>
      </w:r>
      <w:r w:rsidR="002979BF">
        <w:t xml:space="preserve"> also</w:t>
      </w:r>
      <w:r>
        <w:t xml:space="preserve"> take into account the </w:t>
      </w:r>
      <w:r w:rsidR="00977B13">
        <w:t xml:space="preserve">wider </w:t>
      </w:r>
      <w:r w:rsidR="00C53875">
        <w:t xml:space="preserve">housing demand </w:t>
      </w:r>
      <w:r w:rsidR="002C179D">
        <w:t xml:space="preserve">and </w:t>
      </w:r>
      <w:r w:rsidR="00B25A68">
        <w:t>ability</w:t>
      </w:r>
      <w:r w:rsidR="002C179D">
        <w:t xml:space="preserve"> to deliver the estimated housing numbers identified in the </w:t>
      </w:r>
      <w:r w:rsidR="00C53875">
        <w:t>Strategic Housing Market Assessment</w:t>
      </w:r>
      <w:r w:rsidR="00986F97">
        <w:t xml:space="preserve">. In addition, </w:t>
      </w:r>
      <w:r w:rsidR="002C179D">
        <w:t>when considering the provision of Extra Care and other specialist housing for older people, i</w:t>
      </w:r>
      <w:r w:rsidR="00986F97">
        <w:t xml:space="preserve">t will be important to understand the </w:t>
      </w:r>
      <w:r w:rsidR="00385848">
        <w:t xml:space="preserve">practical </w:t>
      </w:r>
      <w:r w:rsidR="00986F97">
        <w:t xml:space="preserve">impact of the County Council’s </w:t>
      </w:r>
      <w:r w:rsidR="00385848">
        <w:t>proposed b</w:t>
      </w:r>
      <w:r w:rsidR="00986F97">
        <w:t xml:space="preserve">udget </w:t>
      </w:r>
      <w:r w:rsidR="00385848">
        <w:t>reductions</w:t>
      </w:r>
      <w:r w:rsidR="002C179D">
        <w:t>,</w:t>
      </w:r>
      <w:r w:rsidR="00385848">
        <w:t xml:space="preserve"> especially in relation to the provision</w:t>
      </w:r>
      <w:r w:rsidR="00676246">
        <w:t xml:space="preserve"> of</w:t>
      </w:r>
      <w:r w:rsidR="00385848">
        <w:t xml:space="preserve"> care and support services for older people. </w:t>
      </w:r>
      <w:r w:rsidR="00986F97">
        <w:t xml:space="preserve"> </w:t>
      </w:r>
    </w:p>
    <w:p w:rsidR="00986F97" w:rsidRDefault="00986F97" w:rsidP="00986F97">
      <w:pPr>
        <w:pStyle w:val="ListParagraph"/>
      </w:pPr>
      <w:r>
        <w:t xml:space="preserve">Given </w:t>
      </w:r>
      <w:r w:rsidR="00385848">
        <w:t xml:space="preserve">all </w:t>
      </w:r>
      <w:r>
        <w:t xml:space="preserve">this, there </w:t>
      </w:r>
      <w:r w:rsidR="00B50670">
        <w:t xml:space="preserve">are opportunities </w:t>
      </w:r>
      <w:r>
        <w:t xml:space="preserve">to work in partnership with the County </w:t>
      </w:r>
      <w:r w:rsidR="00B50670">
        <w:t xml:space="preserve">Council </w:t>
      </w:r>
      <w:r>
        <w:t>and Registered Provider partners to consider asset management arrangements, remodelling of existing schemes and the potential to provide an improved future housing offer for older people</w:t>
      </w:r>
      <w:r w:rsidR="00B50670">
        <w:t>,</w:t>
      </w:r>
      <w:r>
        <w:t xml:space="preserve"> along with some additional affordable housing for general needs. </w:t>
      </w:r>
    </w:p>
    <w:p w:rsidR="00986F97" w:rsidRDefault="00986F97" w:rsidP="00986F97">
      <w:pPr>
        <w:pStyle w:val="Heading1"/>
      </w:pPr>
      <w:r>
        <w:t>Recommendations</w:t>
      </w:r>
    </w:p>
    <w:p w:rsidR="00AD4EA7" w:rsidRPr="00AD4EA7" w:rsidRDefault="00986F97" w:rsidP="00A56E03">
      <w:pPr>
        <w:pStyle w:val="ListParagraph"/>
        <w:ind w:left="425" w:hanging="425"/>
        <w:rPr>
          <w:rFonts w:cs="Arial"/>
          <w:b/>
          <w:bCs/>
          <w:color w:val="auto"/>
          <w:lang w:eastAsia="en-US"/>
        </w:rPr>
      </w:pPr>
      <w:r w:rsidRPr="001618F8">
        <w:rPr>
          <w:rFonts w:eastAsia="Calibri"/>
        </w:rPr>
        <w:t>Following</w:t>
      </w:r>
      <w:r w:rsidR="001618F8" w:rsidRPr="001618F8">
        <w:rPr>
          <w:rFonts w:eastAsia="Calibri"/>
        </w:rPr>
        <w:t xml:space="preserve"> </w:t>
      </w:r>
      <w:r w:rsidRPr="001618F8">
        <w:rPr>
          <w:rFonts w:eastAsia="Calibri"/>
        </w:rPr>
        <w:t>analysis of the</w:t>
      </w:r>
      <w:r w:rsidR="001618F8" w:rsidRPr="001618F8">
        <w:rPr>
          <w:rFonts w:eastAsia="Calibri"/>
        </w:rPr>
        <w:t xml:space="preserve"> available data, and consideration of the </w:t>
      </w:r>
      <w:r w:rsidRPr="001618F8">
        <w:rPr>
          <w:rFonts w:eastAsia="Calibri"/>
        </w:rPr>
        <w:t>national and local research</w:t>
      </w:r>
      <w:r w:rsidR="001618F8" w:rsidRPr="001618F8">
        <w:rPr>
          <w:rFonts w:eastAsia="Calibri"/>
        </w:rPr>
        <w:t xml:space="preserve">, </w:t>
      </w:r>
      <w:r w:rsidR="00B50670">
        <w:rPr>
          <w:rFonts w:eastAsia="Calibri"/>
        </w:rPr>
        <w:t>the report (Appendix 1, Section 13</w:t>
      </w:r>
      <w:r w:rsidRPr="001618F8">
        <w:rPr>
          <w:rFonts w:eastAsia="Calibri"/>
        </w:rPr>
        <w:t xml:space="preserve">) </w:t>
      </w:r>
      <w:r w:rsidR="001618F8" w:rsidRPr="001618F8">
        <w:rPr>
          <w:rFonts w:eastAsia="Calibri"/>
        </w:rPr>
        <w:t>s</w:t>
      </w:r>
      <w:r w:rsidRPr="001618F8">
        <w:rPr>
          <w:rFonts w:eastAsia="Calibri"/>
        </w:rPr>
        <w:t xml:space="preserve">ets out </w:t>
      </w:r>
      <w:r w:rsidR="00676246">
        <w:rPr>
          <w:rFonts w:eastAsia="Calibri"/>
        </w:rPr>
        <w:t xml:space="preserve">considered </w:t>
      </w:r>
      <w:r w:rsidR="00B179DE" w:rsidRPr="001618F8">
        <w:rPr>
          <w:rFonts w:eastAsia="Calibri"/>
        </w:rPr>
        <w:t>r</w:t>
      </w:r>
      <w:r w:rsidRPr="001618F8">
        <w:rPr>
          <w:rFonts w:eastAsia="Calibri"/>
        </w:rPr>
        <w:t>ecommendations</w:t>
      </w:r>
      <w:r w:rsidR="000F793E">
        <w:rPr>
          <w:rFonts w:eastAsia="Calibri"/>
        </w:rPr>
        <w:t xml:space="preserve">. </w:t>
      </w:r>
      <w:r w:rsidR="00B50670">
        <w:rPr>
          <w:rFonts w:eastAsia="Calibri"/>
        </w:rPr>
        <w:t xml:space="preserve">It is intended that Appendix 1 will be </w:t>
      </w:r>
      <w:r w:rsidR="00B50670" w:rsidRPr="00E11E1E">
        <w:t xml:space="preserve">used to inform Council strategies and </w:t>
      </w:r>
      <w:r w:rsidR="000F793E">
        <w:t>the development of future plan</w:t>
      </w:r>
      <w:r w:rsidR="00676246">
        <w:t>-making</w:t>
      </w:r>
      <w:r w:rsidR="000F793E">
        <w:t xml:space="preserve"> policies</w:t>
      </w:r>
      <w:r w:rsidR="00D478F0">
        <w:t xml:space="preserve"> (especially in relation to the development of accessible and adaptable homes). </w:t>
      </w:r>
      <w:r w:rsidR="000F793E">
        <w:t>In addition</w:t>
      </w:r>
      <w:r w:rsidR="00171A04">
        <w:t>,</w:t>
      </w:r>
      <w:r w:rsidR="000F793E">
        <w:t xml:space="preserve"> it can be used to inform </w:t>
      </w:r>
      <w:r w:rsidR="00B50670" w:rsidRPr="00E11E1E">
        <w:t>effective asset management and development decisions</w:t>
      </w:r>
      <w:r w:rsidR="00B50670">
        <w:t xml:space="preserve">. </w:t>
      </w:r>
    </w:p>
    <w:p w:rsidR="00A56E03" w:rsidRPr="00AD4EA7" w:rsidRDefault="00B50670" w:rsidP="00A56E03">
      <w:pPr>
        <w:pStyle w:val="ListParagraph"/>
        <w:ind w:left="425" w:hanging="425"/>
        <w:rPr>
          <w:rFonts w:cs="Arial"/>
          <w:b/>
          <w:bCs/>
          <w:color w:val="auto"/>
          <w:lang w:eastAsia="en-US"/>
        </w:rPr>
      </w:pPr>
      <w:r w:rsidRPr="00AD4EA7">
        <w:rPr>
          <w:rFonts w:eastAsia="Calibri"/>
        </w:rPr>
        <w:t xml:space="preserve">The </w:t>
      </w:r>
      <w:r w:rsidR="000F793E" w:rsidRPr="00AD4EA7">
        <w:rPr>
          <w:rFonts w:eastAsia="Calibri"/>
        </w:rPr>
        <w:t xml:space="preserve">main </w:t>
      </w:r>
      <w:r w:rsidRPr="00AD4EA7">
        <w:rPr>
          <w:rFonts w:eastAsia="Calibri"/>
        </w:rPr>
        <w:t>recommendation</w:t>
      </w:r>
      <w:r w:rsidR="000F793E" w:rsidRPr="00AD4EA7">
        <w:rPr>
          <w:rFonts w:eastAsia="Calibri"/>
        </w:rPr>
        <w:t xml:space="preserve"> is for the </w:t>
      </w:r>
      <w:r w:rsidRPr="00AD4EA7">
        <w:rPr>
          <w:rFonts w:eastAsia="Calibri"/>
        </w:rPr>
        <w:t xml:space="preserve">City Council </w:t>
      </w:r>
      <w:r w:rsidR="00986F97" w:rsidRPr="00AD4EA7">
        <w:rPr>
          <w:rFonts w:eastAsia="Calibri"/>
        </w:rPr>
        <w:t xml:space="preserve">to proactively work in partnership with </w:t>
      </w:r>
      <w:r w:rsidRPr="00AD4EA7">
        <w:rPr>
          <w:rFonts w:eastAsia="Calibri"/>
        </w:rPr>
        <w:t xml:space="preserve">Registered Providers, the </w:t>
      </w:r>
      <w:r w:rsidR="00986F97" w:rsidRPr="00AD4EA7">
        <w:rPr>
          <w:rFonts w:eastAsia="Calibri"/>
        </w:rPr>
        <w:t>County Council and Clinical Commission</w:t>
      </w:r>
      <w:r w:rsidR="000F793E" w:rsidRPr="00AD4EA7">
        <w:rPr>
          <w:rFonts w:eastAsia="Calibri"/>
        </w:rPr>
        <w:t>ing Group to</w:t>
      </w:r>
      <w:r w:rsidR="00D478F0" w:rsidRPr="00AD4EA7">
        <w:rPr>
          <w:rFonts w:eastAsia="Calibri"/>
        </w:rPr>
        <w:t xml:space="preserve"> identify </w:t>
      </w:r>
      <w:r w:rsidR="00C53875" w:rsidRPr="00AD4EA7">
        <w:rPr>
          <w:rFonts w:eastAsia="Calibri"/>
        </w:rPr>
        <w:t xml:space="preserve">the </w:t>
      </w:r>
      <w:r w:rsidR="00D478F0" w:rsidRPr="00AD4EA7">
        <w:rPr>
          <w:rFonts w:eastAsia="Calibri"/>
        </w:rPr>
        <w:t>need for Extra Care</w:t>
      </w:r>
      <w:r w:rsidR="00676246" w:rsidRPr="00AD4EA7">
        <w:rPr>
          <w:rFonts w:eastAsia="Calibri"/>
        </w:rPr>
        <w:t xml:space="preserve">, </w:t>
      </w:r>
      <w:r w:rsidR="00D478F0" w:rsidRPr="00AD4EA7">
        <w:rPr>
          <w:rFonts w:eastAsia="Calibri"/>
        </w:rPr>
        <w:t>specialist</w:t>
      </w:r>
      <w:r w:rsidR="00676246" w:rsidRPr="00AD4EA7">
        <w:rPr>
          <w:rFonts w:eastAsia="Calibri"/>
        </w:rPr>
        <w:t xml:space="preserve"> and general needs</w:t>
      </w:r>
      <w:r w:rsidR="00D478F0" w:rsidRPr="00AD4EA7">
        <w:rPr>
          <w:rFonts w:eastAsia="Calibri"/>
        </w:rPr>
        <w:t xml:space="preserve"> </w:t>
      </w:r>
      <w:r w:rsidR="00676246" w:rsidRPr="00AD4EA7">
        <w:rPr>
          <w:rFonts w:eastAsia="Calibri"/>
        </w:rPr>
        <w:t xml:space="preserve">accommodation </w:t>
      </w:r>
      <w:r w:rsidR="00676246" w:rsidRPr="00AD4EA7">
        <w:rPr>
          <w:rFonts w:eastAsia="Calibri"/>
        </w:rPr>
        <w:lastRenderedPageBreak/>
        <w:t>that is suitable for older people in the future,</w:t>
      </w:r>
      <w:r w:rsidR="00D478F0" w:rsidRPr="00AD4EA7">
        <w:rPr>
          <w:rFonts w:eastAsia="Calibri"/>
        </w:rPr>
        <w:t xml:space="preserve"> and agree joint actions </w:t>
      </w:r>
      <w:r w:rsidR="00986F97" w:rsidRPr="00AD4EA7">
        <w:rPr>
          <w:rFonts w:eastAsia="Calibri"/>
        </w:rPr>
        <w:t>going forward</w:t>
      </w:r>
      <w:r w:rsidR="001618F8" w:rsidRPr="00AD4EA7">
        <w:rPr>
          <w:rFonts w:eastAsia="Calibri"/>
        </w:rPr>
        <w:t>.</w:t>
      </w:r>
      <w:r w:rsidRPr="00AD4EA7">
        <w:rPr>
          <w:rFonts w:eastAsia="Calibri"/>
        </w:rPr>
        <w:t xml:space="preserve"> </w:t>
      </w:r>
      <w:r w:rsidR="00AD4EA7">
        <w:rPr>
          <w:rFonts w:eastAsia="Calibri"/>
        </w:rPr>
        <w:t>O</w:t>
      </w:r>
      <w:r w:rsidR="00A56E03" w:rsidRPr="00AD4EA7">
        <w:rPr>
          <w:rFonts w:cs="Arial"/>
          <w:bCs/>
          <w:color w:val="auto"/>
          <w:lang w:eastAsia="en-US"/>
        </w:rPr>
        <w:t xml:space="preserve">ther recommendations include: </w:t>
      </w:r>
    </w:p>
    <w:p w:rsidR="00A56E03" w:rsidRPr="00A56E03" w:rsidRDefault="00A56E03" w:rsidP="00A56E03">
      <w:pPr>
        <w:pStyle w:val="ListParagraph"/>
        <w:numPr>
          <w:ilvl w:val="0"/>
          <w:numId w:val="40"/>
        </w:numPr>
        <w:rPr>
          <w:rFonts w:cs="Arial"/>
          <w:b/>
          <w:bCs/>
          <w:color w:val="auto"/>
          <w:lang w:eastAsia="en-US"/>
        </w:rPr>
      </w:pPr>
      <w:r>
        <w:rPr>
          <w:rFonts w:cs="Arial"/>
          <w:bCs/>
          <w:color w:val="auto"/>
          <w:lang w:eastAsia="en-US"/>
        </w:rPr>
        <w:t xml:space="preserve">Refocussing accommodation provision </w:t>
      </w:r>
      <w:r w:rsidR="00773111">
        <w:rPr>
          <w:rFonts w:cs="Arial"/>
          <w:bCs/>
          <w:color w:val="auto"/>
          <w:lang w:eastAsia="en-US"/>
        </w:rPr>
        <w:t xml:space="preserve">towards </w:t>
      </w:r>
      <w:r>
        <w:rPr>
          <w:rFonts w:cs="Arial"/>
          <w:bCs/>
          <w:color w:val="auto"/>
          <w:lang w:eastAsia="en-US"/>
        </w:rPr>
        <w:t xml:space="preserve"> older people</w:t>
      </w:r>
      <w:r w:rsidR="00773111">
        <w:rPr>
          <w:rFonts w:cs="Arial"/>
          <w:bCs/>
          <w:color w:val="auto"/>
          <w:lang w:eastAsia="en-US"/>
        </w:rPr>
        <w:t xml:space="preserve">, </w:t>
      </w:r>
      <w:r>
        <w:rPr>
          <w:rFonts w:cs="Arial"/>
          <w:bCs/>
          <w:color w:val="auto"/>
          <w:lang w:eastAsia="en-US"/>
        </w:rPr>
        <w:t>75 years of age and older, or those  persons who are younger but with significant health needs;</w:t>
      </w:r>
    </w:p>
    <w:p w:rsidR="00A56E03" w:rsidRPr="00A56E03" w:rsidRDefault="00A56E03" w:rsidP="00A56E03">
      <w:pPr>
        <w:pStyle w:val="ListParagraph"/>
        <w:numPr>
          <w:ilvl w:val="0"/>
          <w:numId w:val="40"/>
        </w:numPr>
        <w:rPr>
          <w:rFonts w:cs="Arial"/>
          <w:b/>
          <w:bCs/>
          <w:color w:val="auto"/>
          <w:lang w:eastAsia="en-US"/>
        </w:rPr>
      </w:pPr>
      <w:r>
        <w:rPr>
          <w:rFonts w:cs="Arial"/>
          <w:bCs/>
          <w:color w:val="auto"/>
          <w:lang w:eastAsia="en-US"/>
        </w:rPr>
        <w:t>Where appropriate, de-designate some traditional sheltered housing schemes in consultation with residents;</w:t>
      </w:r>
    </w:p>
    <w:p w:rsidR="00A56E03" w:rsidRPr="00A56E03" w:rsidRDefault="00AD4EA7" w:rsidP="00A56E03">
      <w:pPr>
        <w:pStyle w:val="ListParagraph"/>
        <w:numPr>
          <w:ilvl w:val="0"/>
          <w:numId w:val="40"/>
        </w:numPr>
        <w:rPr>
          <w:rFonts w:cs="Arial"/>
          <w:b/>
          <w:bCs/>
          <w:color w:val="auto"/>
          <w:lang w:eastAsia="en-US"/>
        </w:rPr>
      </w:pPr>
      <w:r>
        <w:rPr>
          <w:rFonts w:cs="Arial"/>
          <w:bCs/>
          <w:color w:val="auto"/>
          <w:lang w:eastAsia="en-US"/>
        </w:rPr>
        <w:t>Where appropriate, r</w:t>
      </w:r>
      <w:r w:rsidR="00A56E03">
        <w:rPr>
          <w:rFonts w:cs="Arial"/>
          <w:bCs/>
          <w:color w:val="auto"/>
          <w:lang w:eastAsia="en-US"/>
        </w:rPr>
        <w:t>e-model some existing sheltered and Designated 55+ housing schemes to provide an improved housing offer</w:t>
      </w:r>
      <w:r w:rsidR="008C64AB">
        <w:rPr>
          <w:rFonts w:cs="Arial"/>
          <w:bCs/>
          <w:color w:val="auto"/>
          <w:lang w:eastAsia="en-US"/>
        </w:rPr>
        <w:t xml:space="preserve"> for older people and develop </w:t>
      </w:r>
      <w:r w:rsidR="00A56E03">
        <w:rPr>
          <w:rFonts w:cs="Arial"/>
          <w:bCs/>
          <w:color w:val="auto"/>
          <w:lang w:eastAsia="en-US"/>
        </w:rPr>
        <w:t>some general needs housing;</w:t>
      </w:r>
    </w:p>
    <w:p w:rsidR="008C64AB" w:rsidRPr="008C64AB" w:rsidRDefault="008C64AB" w:rsidP="00A56E03">
      <w:pPr>
        <w:pStyle w:val="ListParagraph"/>
        <w:numPr>
          <w:ilvl w:val="0"/>
          <w:numId w:val="40"/>
        </w:numPr>
        <w:rPr>
          <w:rFonts w:cs="Arial"/>
          <w:b/>
          <w:bCs/>
          <w:color w:val="auto"/>
          <w:lang w:eastAsia="en-US"/>
        </w:rPr>
      </w:pPr>
      <w:r>
        <w:rPr>
          <w:rFonts w:cs="Arial"/>
          <w:bCs/>
          <w:color w:val="auto"/>
          <w:lang w:eastAsia="en-US"/>
        </w:rPr>
        <w:t>The City Council strengthen</w:t>
      </w:r>
      <w:r w:rsidR="00DE1BCE">
        <w:rPr>
          <w:rFonts w:cs="Arial"/>
          <w:bCs/>
          <w:color w:val="auto"/>
          <w:lang w:eastAsia="en-US"/>
        </w:rPr>
        <w:t>ing</w:t>
      </w:r>
      <w:r>
        <w:rPr>
          <w:rFonts w:cs="Arial"/>
          <w:bCs/>
          <w:color w:val="auto"/>
          <w:lang w:eastAsia="en-US"/>
        </w:rPr>
        <w:t xml:space="preserve"> its role in leading and co-ordinating Registered Providers in developing their forward strategies and asset management plans around older persons housing;</w:t>
      </w:r>
    </w:p>
    <w:p w:rsidR="008C64AB" w:rsidRPr="008C64AB" w:rsidRDefault="008C64AB" w:rsidP="00A56E03">
      <w:pPr>
        <w:pStyle w:val="ListParagraph"/>
        <w:numPr>
          <w:ilvl w:val="0"/>
          <w:numId w:val="40"/>
        </w:numPr>
        <w:rPr>
          <w:rFonts w:cs="Arial"/>
          <w:b/>
          <w:bCs/>
          <w:color w:val="auto"/>
          <w:lang w:eastAsia="en-US"/>
        </w:rPr>
      </w:pPr>
      <w:r>
        <w:rPr>
          <w:rFonts w:cs="Arial"/>
          <w:bCs/>
          <w:color w:val="auto"/>
          <w:lang w:eastAsia="en-US"/>
        </w:rPr>
        <w:t>The City Council commission</w:t>
      </w:r>
      <w:r w:rsidR="00DE1BCE">
        <w:rPr>
          <w:rFonts w:cs="Arial"/>
          <w:bCs/>
          <w:color w:val="auto"/>
          <w:lang w:eastAsia="en-US"/>
        </w:rPr>
        <w:t>ing</w:t>
      </w:r>
      <w:r>
        <w:rPr>
          <w:rFonts w:cs="Arial"/>
          <w:bCs/>
          <w:color w:val="auto"/>
          <w:lang w:eastAsia="en-US"/>
        </w:rPr>
        <w:t xml:space="preserve"> the development of new bungalows on small in-fill development sites on existing estates (subject </w:t>
      </w:r>
      <w:r w:rsidR="00AD4EA7">
        <w:rPr>
          <w:rFonts w:cs="Arial"/>
          <w:bCs/>
          <w:color w:val="auto"/>
          <w:lang w:eastAsia="en-US"/>
        </w:rPr>
        <w:t>to planning conditions) and to</w:t>
      </w:r>
      <w:r>
        <w:rPr>
          <w:rFonts w:cs="Arial"/>
          <w:bCs/>
          <w:color w:val="auto"/>
          <w:lang w:eastAsia="en-US"/>
        </w:rPr>
        <w:t xml:space="preserve"> </w:t>
      </w:r>
      <w:r w:rsidR="00A0773B">
        <w:rPr>
          <w:rFonts w:cs="Arial"/>
          <w:bCs/>
          <w:color w:val="auto"/>
          <w:lang w:eastAsia="en-US"/>
        </w:rPr>
        <w:t xml:space="preserve">prioritise letting of these to </w:t>
      </w:r>
      <w:r>
        <w:rPr>
          <w:rFonts w:cs="Arial"/>
          <w:bCs/>
          <w:color w:val="auto"/>
          <w:lang w:eastAsia="en-US"/>
        </w:rPr>
        <w:t xml:space="preserve">social tenants who are willing to downsize from a 3+ bedroom family home; </w:t>
      </w:r>
    </w:p>
    <w:p w:rsidR="008C64AB" w:rsidRPr="008C64AB" w:rsidRDefault="008C64AB" w:rsidP="00A56E03">
      <w:pPr>
        <w:pStyle w:val="ListParagraph"/>
        <w:numPr>
          <w:ilvl w:val="0"/>
          <w:numId w:val="40"/>
        </w:numPr>
        <w:rPr>
          <w:rFonts w:cs="Arial"/>
          <w:b/>
          <w:bCs/>
          <w:color w:val="auto"/>
          <w:lang w:eastAsia="en-US"/>
        </w:rPr>
      </w:pPr>
      <w:r>
        <w:rPr>
          <w:rFonts w:cs="Arial"/>
          <w:bCs/>
          <w:color w:val="auto"/>
          <w:lang w:eastAsia="en-US"/>
        </w:rPr>
        <w:t>The City Council continu</w:t>
      </w:r>
      <w:r w:rsidR="00BD54E3">
        <w:rPr>
          <w:rFonts w:cs="Arial"/>
          <w:bCs/>
          <w:color w:val="auto"/>
          <w:lang w:eastAsia="en-US"/>
        </w:rPr>
        <w:t>ing</w:t>
      </w:r>
      <w:r>
        <w:rPr>
          <w:rFonts w:cs="Arial"/>
          <w:bCs/>
          <w:color w:val="auto"/>
          <w:lang w:eastAsia="en-US"/>
        </w:rPr>
        <w:t xml:space="preserve"> its spend on Disabled Facilities Grants; Disabled Adaptations and the Removals and Expenses</w:t>
      </w:r>
      <w:r w:rsidR="00A0773B">
        <w:rPr>
          <w:rFonts w:cs="Arial"/>
          <w:bCs/>
          <w:color w:val="auto"/>
          <w:lang w:eastAsia="en-US"/>
        </w:rPr>
        <w:t xml:space="preserve"> (under-occupation)</w:t>
      </w:r>
      <w:r>
        <w:rPr>
          <w:rFonts w:cs="Arial"/>
          <w:bCs/>
          <w:color w:val="auto"/>
          <w:lang w:eastAsia="en-US"/>
        </w:rPr>
        <w:t xml:space="preserve"> </w:t>
      </w:r>
      <w:r w:rsidR="00A0773B">
        <w:rPr>
          <w:rFonts w:cs="Arial"/>
          <w:bCs/>
          <w:color w:val="auto"/>
          <w:lang w:eastAsia="en-US"/>
        </w:rPr>
        <w:t>s</w:t>
      </w:r>
      <w:r>
        <w:rPr>
          <w:rFonts w:cs="Arial"/>
          <w:bCs/>
          <w:color w:val="auto"/>
          <w:lang w:eastAsia="en-US"/>
        </w:rPr>
        <w:t xml:space="preserve">chemes, but to </w:t>
      </w:r>
      <w:r w:rsidR="00AD4EA7">
        <w:rPr>
          <w:rFonts w:cs="Arial"/>
          <w:bCs/>
          <w:color w:val="auto"/>
          <w:lang w:eastAsia="en-US"/>
        </w:rPr>
        <w:t xml:space="preserve">also </w:t>
      </w:r>
      <w:r>
        <w:rPr>
          <w:rFonts w:cs="Arial"/>
          <w:bCs/>
          <w:color w:val="auto"/>
          <w:lang w:eastAsia="en-US"/>
        </w:rPr>
        <w:t>seek contributions from Registered Providers in relation to investments in their housing stock where appropriate;</w:t>
      </w:r>
    </w:p>
    <w:p w:rsidR="008C64AB" w:rsidRPr="008C64AB" w:rsidRDefault="008C64AB" w:rsidP="00A56E03">
      <w:pPr>
        <w:pStyle w:val="ListParagraph"/>
        <w:numPr>
          <w:ilvl w:val="0"/>
          <w:numId w:val="40"/>
        </w:numPr>
        <w:rPr>
          <w:rFonts w:cs="Arial"/>
          <w:b/>
          <w:bCs/>
          <w:color w:val="auto"/>
          <w:lang w:eastAsia="en-US"/>
        </w:rPr>
      </w:pPr>
      <w:r>
        <w:rPr>
          <w:rFonts w:cs="Arial"/>
          <w:bCs/>
          <w:color w:val="auto"/>
          <w:lang w:eastAsia="en-US"/>
        </w:rPr>
        <w:t>The City Council work</w:t>
      </w:r>
      <w:r w:rsidR="00BD54E3">
        <w:rPr>
          <w:rFonts w:cs="Arial"/>
          <w:bCs/>
          <w:color w:val="auto"/>
          <w:lang w:eastAsia="en-US"/>
        </w:rPr>
        <w:t>ing</w:t>
      </w:r>
      <w:r>
        <w:rPr>
          <w:rFonts w:cs="Arial"/>
          <w:bCs/>
          <w:color w:val="auto"/>
          <w:lang w:eastAsia="en-US"/>
        </w:rPr>
        <w:t xml:space="preserve"> in partnership to further develop current protocols around hospital discharge arrangements; </w:t>
      </w:r>
    </w:p>
    <w:p w:rsidR="00A56E03" w:rsidRPr="00AD4EA7" w:rsidRDefault="008C64AB" w:rsidP="00A56E03">
      <w:pPr>
        <w:pStyle w:val="ListParagraph"/>
        <w:numPr>
          <w:ilvl w:val="0"/>
          <w:numId w:val="40"/>
        </w:numPr>
        <w:rPr>
          <w:rFonts w:cs="Arial"/>
          <w:b/>
          <w:bCs/>
          <w:color w:val="auto"/>
          <w:lang w:eastAsia="en-US"/>
        </w:rPr>
      </w:pPr>
      <w:r>
        <w:rPr>
          <w:rFonts w:cs="Arial"/>
          <w:bCs/>
          <w:color w:val="auto"/>
          <w:lang w:eastAsia="en-US"/>
        </w:rPr>
        <w:t>The City Council updat</w:t>
      </w:r>
      <w:r w:rsidR="00BD54E3">
        <w:rPr>
          <w:rFonts w:cs="Arial"/>
          <w:bCs/>
          <w:color w:val="auto"/>
          <w:lang w:eastAsia="en-US"/>
        </w:rPr>
        <w:t>ing</w:t>
      </w:r>
      <w:r>
        <w:rPr>
          <w:rFonts w:cs="Arial"/>
          <w:bCs/>
          <w:color w:val="auto"/>
          <w:lang w:eastAsia="en-US"/>
        </w:rPr>
        <w:t xml:space="preserve"> the ‘’Guide to Older People’s Accommodation in Oxford (2013)’’</w:t>
      </w:r>
      <w:r w:rsidR="00AD4EA7">
        <w:rPr>
          <w:rFonts w:cs="Arial"/>
          <w:bCs/>
          <w:color w:val="auto"/>
          <w:lang w:eastAsia="en-US"/>
        </w:rPr>
        <w:t>;</w:t>
      </w:r>
    </w:p>
    <w:p w:rsidR="00AD4EA7" w:rsidRPr="00AD4EA7" w:rsidRDefault="00AD4EA7" w:rsidP="00A56E03">
      <w:pPr>
        <w:pStyle w:val="ListParagraph"/>
        <w:numPr>
          <w:ilvl w:val="0"/>
          <w:numId w:val="40"/>
        </w:numPr>
        <w:rPr>
          <w:rFonts w:cs="Arial"/>
          <w:b/>
          <w:bCs/>
          <w:color w:val="auto"/>
          <w:lang w:eastAsia="en-US"/>
        </w:rPr>
      </w:pPr>
      <w:r>
        <w:rPr>
          <w:rFonts w:cs="Arial"/>
          <w:bCs/>
          <w:color w:val="auto"/>
          <w:lang w:eastAsia="en-US"/>
        </w:rPr>
        <w:t>The City Council continu</w:t>
      </w:r>
      <w:r w:rsidR="00BD54E3">
        <w:rPr>
          <w:rFonts w:cs="Arial"/>
          <w:bCs/>
          <w:color w:val="auto"/>
          <w:lang w:eastAsia="en-US"/>
        </w:rPr>
        <w:t>ing</w:t>
      </w:r>
      <w:r>
        <w:rPr>
          <w:rFonts w:cs="Arial"/>
          <w:bCs/>
          <w:color w:val="auto"/>
          <w:lang w:eastAsia="en-US"/>
        </w:rPr>
        <w:t xml:space="preserve"> to be represented on the Oxfordshire Health and Wellbeing Board and Older People’s Joint Management Group; </w:t>
      </w:r>
      <w:r w:rsidR="00A0773B">
        <w:rPr>
          <w:rFonts w:cs="Arial"/>
          <w:bCs/>
          <w:color w:val="auto"/>
          <w:lang w:eastAsia="en-US"/>
        </w:rPr>
        <w:t>and</w:t>
      </w:r>
    </w:p>
    <w:p w:rsidR="00AD4EA7" w:rsidRPr="001618F8" w:rsidRDefault="00AD4EA7" w:rsidP="00A56E03">
      <w:pPr>
        <w:pStyle w:val="ListParagraph"/>
        <w:numPr>
          <w:ilvl w:val="0"/>
          <w:numId w:val="40"/>
        </w:numPr>
        <w:rPr>
          <w:rFonts w:cs="Arial"/>
          <w:b/>
          <w:bCs/>
          <w:color w:val="auto"/>
          <w:lang w:eastAsia="en-US"/>
        </w:rPr>
      </w:pPr>
      <w:r>
        <w:rPr>
          <w:rFonts w:cs="Arial"/>
          <w:bCs/>
          <w:color w:val="auto"/>
          <w:lang w:eastAsia="en-US"/>
        </w:rPr>
        <w:t>The City Council facilitat</w:t>
      </w:r>
      <w:r w:rsidR="00BD54E3">
        <w:rPr>
          <w:rFonts w:cs="Arial"/>
          <w:bCs/>
          <w:color w:val="auto"/>
          <w:lang w:eastAsia="en-US"/>
        </w:rPr>
        <w:t>ing</w:t>
      </w:r>
      <w:r>
        <w:rPr>
          <w:rFonts w:cs="Arial"/>
          <w:bCs/>
          <w:color w:val="auto"/>
          <w:lang w:eastAsia="en-US"/>
        </w:rPr>
        <w:t xml:space="preserve"> discussions with service providers, Adult Social Care and health providers in order to reach a suitable solution that will help reduce homelessness and rough sleeping for older people.  </w:t>
      </w:r>
    </w:p>
    <w:p w:rsidR="00E87F7A" w:rsidRPr="001356F1" w:rsidRDefault="00E20710" w:rsidP="00E87F7A">
      <w:pPr>
        <w:spacing w:before="240"/>
        <w:outlineLvl w:val="0"/>
        <w:rPr>
          <w:b/>
        </w:rPr>
      </w:pPr>
      <w:r>
        <w:rPr>
          <w:b/>
        </w:rPr>
        <w:t>Sustainability and environmental impact</w:t>
      </w:r>
      <w:r w:rsidR="00E87F7A" w:rsidRPr="001356F1">
        <w:rPr>
          <w:b/>
        </w:rPr>
        <w:t xml:space="preserve"> </w:t>
      </w:r>
    </w:p>
    <w:p w:rsidR="009F2797" w:rsidRDefault="005B7FAD" w:rsidP="00AD4EA7">
      <w:pPr>
        <w:pStyle w:val="ListParagraph"/>
        <w:ind w:left="360" w:hanging="360"/>
      </w:pPr>
      <w:r>
        <w:t xml:space="preserve">The Review of Older Persons Accommodation in Oxford </w:t>
      </w:r>
      <w:r w:rsidRPr="0080301E">
        <w:t xml:space="preserve">does not have any explicit environmental </w:t>
      </w:r>
      <w:r>
        <w:t xml:space="preserve">or sustainability </w:t>
      </w:r>
      <w:r w:rsidRPr="0080301E">
        <w:t>impacts in itself.  Specific projects</w:t>
      </w:r>
      <w:r>
        <w:t xml:space="preserve"> relating to the i</w:t>
      </w:r>
      <w:r w:rsidR="00E20710">
        <w:t>mplementation of the proposals to remodel existing housing or develop new properties will have a</w:t>
      </w:r>
      <w:r w:rsidR="00C53875">
        <w:t>n</w:t>
      </w:r>
      <w:r w:rsidR="00E20710">
        <w:t xml:space="preserve"> impact upon the environment</w:t>
      </w:r>
      <w:r w:rsidR="009F2797">
        <w:t xml:space="preserve"> and sustainability</w:t>
      </w:r>
      <w:r w:rsidR="00C53875">
        <w:t xml:space="preserve">, including </w:t>
      </w:r>
      <w:r w:rsidR="00E20710">
        <w:t xml:space="preserve">the ability </w:t>
      </w:r>
      <w:r w:rsidR="009F2797">
        <w:t xml:space="preserve">to create more energy efficient accommodation </w:t>
      </w:r>
      <w:r w:rsidR="00E20710">
        <w:t>that meet</w:t>
      </w:r>
      <w:r w:rsidR="009F2797">
        <w:t>s</w:t>
      </w:r>
      <w:r w:rsidR="00E20710">
        <w:t xml:space="preserve"> with modern</w:t>
      </w:r>
      <w:r w:rsidR="00676246">
        <w:t>,</w:t>
      </w:r>
      <w:r w:rsidR="00E20710">
        <w:t xml:space="preserve"> low</w:t>
      </w:r>
      <w:r w:rsidR="00676246">
        <w:t>-</w:t>
      </w:r>
      <w:r w:rsidR="00E20710">
        <w:t>carbon standards</w:t>
      </w:r>
      <w:r w:rsidR="009F2797">
        <w:t xml:space="preserve"> and is more sustainable in the longer term for residents as their needs change.</w:t>
      </w:r>
      <w:r w:rsidR="00AD4EA7">
        <w:t xml:space="preserve"> </w:t>
      </w:r>
      <w:r w:rsidR="00C53875">
        <w:t>S</w:t>
      </w:r>
      <w:r w:rsidR="009F2797">
        <w:t xml:space="preserve">uch impacts will be considered as part of any </w:t>
      </w:r>
      <w:r w:rsidR="00676246">
        <w:t xml:space="preserve">future </w:t>
      </w:r>
      <w:r w:rsidR="009F2797">
        <w:t>p</w:t>
      </w:r>
      <w:r w:rsidR="00694FFA">
        <w:t>roject</w:t>
      </w:r>
      <w:r w:rsidR="009F2797">
        <w:t xml:space="preserve"> proposals.</w:t>
      </w:r>
    </w:p>
    <w:p w:rsidR="0040736F" w:rsidRPr="001356F1" w:rsidRDefault="002329CF" w:rsidP="004A6D2F">
      <w:pPr>
        <w:pStyle w:val="Heading1"/>
      </w:pPr>
      <w:r w:rsidRPr="001356F1">
        <w:t>Financial implications</w:t>
      </w:r>
    </w:p>
    <w:p w:rsidR="00E87F7A" w:rsidRPr="001356F1" w:rsidRDefault="005B7FAD" w:rsidP="00AD4EA7">
      <w:pPr>
        <w:pStyle w:val="ListParagraph"/>
      </w:pPr>
      <w:r>
        <w:t xml:space="preserve">There are no specific financial implications arising directly from the Review of Older Persons Accommodation in Oxford. </w:t>
      </w:r>
      <w:r w:rsidR="00C53875">
        <w:t xml:space="preserve"> </w:t>
      </w:r>
      <w:r w:rsidR="009F2797">
        <w:t xml:space="preserve">Section 11 of Appendix 1 includes </w:t>
      </w:r>
      <w:r w:rsidR="00F5624E">
        <w:t>co</w:t>
      </w:r>
      <w:r w:rsidR="009F2797">
        <w:t xml:space="preserve">nsideration of the financial </w:t>
      </w:r>
      <w:r w:rsidR="00F5624E">
        <w:t xml:space="preserve">(capital and revenue) </w:t>
      </w:r>
      <w:r w:rsidR="009F2797">
        <w:t xml:space="preserve">implications for the City Council in delivering activities outlined in the review. </w:t>
      </w:r>
      <w:r w:rsidR="00F5624E">
        <w:t xml:space="preserve">Recommendations have been based </w:t>
      </w:r>
      <w:r w:rsidR="00F5624E">
        <w:lastRenderedPageBreak/>
        <w:t xml:space="preserve">on </w:t>
      </w:r>
      <w:r w:rsidR="009F2797">
        <w:t>the City Council’s agreed financial strategy e.g. within agreed budget parameters</w:t>
      </w:r>
      <w:r w:rsidR="00F5624E">
        <w:t xml:space="preserve"> for 2016/17</w:t>
      </w:r>
      <w:r w:rsidR="009F2797">
        <w:t xml:space="preserve">. </w:t>
      </w:r>
      <w:r w:rsidR="00F5624E">
        <w:t>Capital expenditure will be required if the Council is to develop new accommodation or re-model existing accommodation in the future, however proposals for such development</w:t>
      </w:r>
      <w:r w:rsidR="00C10669">
        <w:t>s</w:t>
      </w:r>
      <w:r w:rsidR="00F5624E">
        <w:t xml:space="preserve"> would</w:t>
      </w:r>
      <w:r w:rsidR="00C10669">
        <w:t xml:space="preserve"> be subject to a separate report for consideration by </w:t>
      </w:r>
      <w:r w:rsidR="00C53875">
        <w:t>the City Executive Board</w:t>
      </w:r>
      <w:r w:rsidR="00C10669">
        <w:t xml:space="preserve"> at that point in time. </w:t>
      </w:r>
      <w:r w:rsidR="00F5624E">
        <w:t xml:space="preserve">  </w:t>
      </w:r>
    </w:p>
    <w:p w:rsidR="0040736F" w:rsidRPr="001356F1" w:rsidRDefault="00DA614B" w:rsidP="004A6D2F">
      <w:pPr>
        <w:pStyle w:val="Heading1"/>
      </w:pPr>
      <w:r w:rsidRPr="001356F1">
        <w:t>Legal issues</w:t>
      </w:r>
    </w:p>
    <w:p w:rsidR="002C457C" w:rsidRDefault="002C457C" w:rsidP="00AD4EA7">
      <w:pPr>
        <w:pStyle w:val="ListParagraph"/>
      </w:pPr>
      <w:r w:rsidRPr="002C457C">
        <w:t xml:space="preserve">Meeting the Council’s statutory housing obligations is reflected in the priorities of the approved Housing Strategy 2015-2018, including statutory homelessness duties; provision of housing advice; and landlord responsibilities. </w:t>
      </w:r>
    </w:p>
    <w:p w:rsidR="002C457C" w:rsidRPr="002C457C" w:rsidRDefault="002C457C" w:rsidP="00AD4EA7">
      <w:pPr>
        <w:pStyle w:val="ListParagraph"/>
      </w:pPr>
      <w:r>
        <w:t xml:space="preserve">There </w:t>
      </w:r>
      <w:r w:rsidRPr="002C457C">
        <w:t>are no legal implications resulting directly from th</w:t>
      </w:r>
      <w:r w:rsidR="00141432">
        <w:t>is report</w:t>
      </w:r>
      <w:r w:rsidRPr="002C457C">
        <w:t>. Implementation of the recommendations may have legal implications but these will be identified and addressed in the relevant project</w:t>
      </w:r>
      <w:r>
        <w:t xml:space="preserve"> documentation</w:t>
      </w:r>
      <w:r w:rsidR="00C53875">
        <w:t>,</w:t>
      </w:r>
      <w:r>
        <w:t xml:space="preserve"> </w:t>
      </w:r>
      <w:r w:rsidR="00C53875">
        <w:t xml:space="preserve">and in reports seeking approval, </w:t>
      </w:r>
      <w:r>
        <w:t>for those projects and work programmes.</w:t>
      </w:r>
    </w:p>
    <w:p w:rsidR="002329CF" w:rsidRPr="00896258" w:rsidRDefault="002329CF" w:rsidP="004A6D2F">
      <w:pPr>
        <w:pStyle w:val="Heading1"/>
      </w:pPr>
      <w:r w:rsidRPr="00896258">
        <w:t>Level of risk</w:t>
      </w:r>
    </w:p>
    <w:p w:rsidR="00BC69A4" w:rsidRPr="00896258" w:rsidRDefault="00896258" w:rsidP="00AD4EA7">
      <w:pPr>
        <w:pStyle w:val="ListParagraph"/>
      </w:pPr>
      <w:r w:rsidRPr="00896258">
        <w:t xml:space="preserve">A Risk Register can be found in Appendix 2. This highlights the potential risk to delivering the recommendations as set out in the review (Appendix 1). Continued control and effective management of budgets, in addition to maximising the potential of existing corporate and informal partnership working arrangements, will contribute to reducing the identified risks. </w:t>
      </w:r>
      <w:bookmarkStart w:id="0" w:name="_GoBack"/>
      <w:bookmarkEnd w:id="0"/>
    </w:p>
    <w:p w:rsidR="002329CF" w:rsidRPr="001356F1" w:rsidRDefault="002329CF" w:rsidP="0050321C">
      <w:pPr>
        <w:pStyle w:val="Heading1"/>
      </w:pPr>
      <w:r w:rsidRPr="001356F1">
        <w:t xml:space="preserve">Equalities impact </w:t>
      </w:r>
    </w:p>
    <w:p w:rsidR="00435D21" w:rsidRDefault="00141432" w:rsidP="00AD4EA7">
      <w:pPr>
        <w:pStyle w:val="ListParagraph"/>
      </w:pPr>
      <w:r>
        <w:t xml:space="preserve">The </w:t>
      </w:r>
      <w:r w:rsidR="00D478F0">
        <w:t xml:space="preserve">Review of Older Persons’ Accommodation in Oxford </w:t>
      </w:r>
      <w:r w:rsidR="00435D21">
        <w:t xml:space="preserve">(ROPA) </w:t>
      </w:r>
      <w:r>
        <w:t>was</w:t>
      </w:r>
      <w:r w:rsidR="00D478F0">
        <w:t xml:space="preserve"> an action </w:t>
      </w:r>
      <w:r w:rsidR="00435D21">
        <w:t xml:space="preserve">set out </w:t>
      </w:r>
      <w:r w:rsidR="00D478F0">
        <w:t>in the Council’s Housing Strategy 2015-18</w:t>
      </w:r>
      <w:r w:rsidR="00E20710">
        <w:t xml:space="preserve">. The Housing Strategy </w:t>
      </w:r>
      <w:r w:rsidR="00D478F0">
        <w:t>was subject to an Equality Impact Assessment</w:t>
      </w:r>
      <w:r w:rsidR="00435D21">
        <w:t xml:space="preserve"> prior to its approval by the City Council in 2015</w:t>
      </w:r>
      <w:r w:rsidR="00D478F0">
        <w:t>. Whilst the</w:t>
      </w:r>
      <w:r w:rsidR="00435D21">
        <w:t xml:space="preserve"> ROPA </w:t>
      </w:r>
      <w:r w:rsidR="00AB2D4F">
        <w:t xml:space="preserve">is a bespoke piece of work </w:t>
      </w:r>
      <w:r w:rsidR="00D478F0">
        <w:t>relat</w:t>
      </w:r>
      <w:r w:rsidR="00AB2D4F">
        <w:t>ing</w:t>
      </w:r>
      <w:r w:rsidR="00D478F0">
        <w:t xml:space="preserve"> to the needs of those people aged 55 or over, consideration has been given</w:t>
      </w:r>
      <w:r w:rsidR="00435D21">
        <w:t xml:space="preserve"> within the review document</w:t>
      </w:r>
      <w:r w:rsidR="00D478F0">
        <w:t xml:space="preserve"> to the competing accommodation needs of other client groups such as younger people and families with children. </w:t>
      </w:r>
      <w:r w:rsidR="00435D21">
        <w:t>In addition to the provision of general needs housing, th</w:t>
      </w:r>
      <w:r w:rsidR="00D478F0">
        <w:t xml:space="preserve">e </w:t>
      </w:r>
      <w:r w:rsidR="00435D21">
        <w:t xml:space="preserve">review </w:t>
      </w:r>
      <w:r w:rsidR="00D478F0">
        <w:t xml:space="preserve">also </w:t>
      </w:r>
      <w:r w:rsidR="00435D21">
        <w:t xml:space="preserve">acknowledges </w:t>
      </w:r>
      <w:r w:rsidR="00D478F0">
        <w:t>the need to provide</w:t>
      </w:r>
      <w:r w:rsidR="00435D21">
        <w:t xml:space="preserve"> a balance of accessible and adaptable accommodation to meet the </w:t>
      </w:r>
      <w:r w:rsidR="00C10669">
        <w:t>requirements</w:t>
      </w:r>
      <w:r w:rsidR="00435D21">
        <w:t xml:space="preserve"> of those households who may have disabilities or health conditions.</w:t>
      </w:r>
      <w:r w:rsidR="00E20710">
        <w:t xml:space="preserve"> </w:t>
      </w:r>
    </w:p>
    <w:p w:rsidR="00F5624E" w:rsidRDefault="00F5624E" w:rsidP="00F5624E">
      <w:pPr>
        <w:pStyle w:val="ListParagraph"/>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179DE" w:rsidP="00B179DE">
            <w:r>
              <w:t>Frances Evans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179DE" w:rsidP="00B179DE">
            <w:r>
              <w:t>Strategy and Service Development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179DE" w:rsidP="00A46E98">
            <w:r>
              <w:t>Housing and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179DE">
            <w:r w:rsidRPr="001356F1">
              <w:t xml:space="preserve">01865 </w:t>
            </w:r>
            <w:r w:rsidR="00B179DE">
              <w:t>252062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179DE" w:rsidP="00A46E98">
            <w:pPr>
              <w:rPr>
                <w:rStyle w:val="Hyperlink"/>
                <w:color w:val="000000"/>
              </w:rPr>
            </w:pPr>
            <w:r>
              <w:rPr>
                <w:rStyle w:val="Hyperlink"/>
                <w:color w:val="000000"/>
              </w:rPr>
              <w:t>fevans@oxford.gov.uk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A46E98">
        <w:tc>
          <w:tcPr>
            <w:tcW w:w="567" w:type="dxa"/>
            <w:tcBorders>
              <w:top w:val="single" w:sz="8" w:space="0" w:color="000000"/>
              <w:left w:val="single" w:sz="8" w:space="0" w:color="000000"/>
              <w:bottom w:val="nil"/>
              <w:right w:val="nil"/>
            </w:tcBorders>
            <w:shd w:val="clear" w:color="auto" w:fill="auto"/>
          </w:tcPr>
          <w:p w:rsidR="0093067A" w:rsidRPr="001356F1" w:rsidRDefault="0093067A" w:rsidP="00F41AC1"/>
        </w:tc>
        <w:tc>
          <w:tcPr>
            <w:tcW w:w="8364" w:type="dxa"/>
            <w:tcBorders>
              <w:top w:val="single" w:sz="8" w:space="0" w:color="000000"/>
              <w:left w:val="nil"/>
              <w:bottom w:val="nil"/>
              <w:right w:val="single" w:sz="8" w:space="0" w:color="000000"/>
            </w:tcBorders>
          </w:tcPr>
          <w:p w:rsidR="0093067A" w:rsidRPr="001356F1" w:rsidRDefault="0093067A" w:rsidP="005D0621"/>
        </w:tc>
      </w:tr>
    </w:tbl>
    <w:p w:rsidR="00CE4C87" w:rsidRDefault="00CE4C87" w:rsidP="0093067A"/>
    <w:p w:rsidR="00A0773B" w:rsidRDefault="00A0773B" w:rsidP="0093067A"/>
    <w:sectPr w:rsidR="00A0773B"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0F" w:rsidRDefault="00D13A0F" w:rsidP="004A6D2F">
      <w:r>
        <w:separator/>
      </w:r>
    </w:p>
  </w:endnote>
  <w:endnote w:type="continuationSeparator" w:id="0">
    <w:p w:rsidR="00D13A0F" w:rsidRDefault="00D13A0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0F" w:rsidRDefault="00D13A0F" w:rsidP="004A6D2F">
      <w:r>
        <w:separator/>
      </w:r>
    </w:p>
  </w:footnote>
  <w:footnote w:type="continuationSeparator" w:id="0">
    <w:p w:rsidR="00D13A0F" w:rsidRDefault="00D13A0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C53875" w:rsidP="00D5547E">
    <w:pPr>
      <w:pStyle w:val="Header"/>
      <w:jc w:val="right"/>
    </w:pPr>
    <w:r>
      <w:rPr>
        <w:noProof/>
      </w:rPr>
      <w:drawing>
        <wp:inline distT="0" distB="0" distL="0" distR="0" wp14:anchorId="45832A1E" wp14:editId="53F38D4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3442677"/>
    <w:multiLevelType w:val="hybridMultilevel"/>
    <w:tmpl w:val="FC58767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nsid w:val="237D34BA"/>
    <w:multiLevelType w:val="hybridMultilevel"/>
    <w:tmpl w:val="280A8AD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3A721F"/>
    <w:multiLevelType w:val="hybridMultilevel"/>
    <w:tmpl w:val="B7B8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932642"/>
    <w:multiLevelType w:val="hybridMultilevel"/>
    <w:tmpl w:val="DC46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0A3CB3"/>
    <w:multiLevelType w:val="multilevel"/>
    <w:tmpl w:val="16BC8176"/>
    <w:lvl w:ilvl="0">
      <w:start w:val="1"/>
      <w:numFmt w:val="bullet"/>
      <w:lvlText w:val=""/>
      <w:lvlJc w:val="left"/>
      <w:pPr>
        <w:ind w:left="1069" w:hanging="360"/>
      </w:pPr>
      <w:rPr>
        <w:rFonts w:ascii="Symbol" w:hAnsi="Symbol" w:hint="default"/>
      </w:rPr>
    </w:lvl>
    <w:lvl w:ilvl="1">
      <w:start w:val="1"/>
      <w:numFmt w:val="decimal"/>
      <w:lvlText w:val="%1.%2."/>
      <w:lvlJc w:val="left"/>
      <w:pPr>
        <w:ind w:left="367" w:hanging="432"/>
      </w:p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AA766C3"/>
    <w:multiLevelType w:val="hybridMultilevel"/>
    <w:tmpl w:val="07DE14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8895EF9"/>
    <w:multiLevelType w:val="hybridMultilevel"/>
    <w:tmpl w:val="9AC86A3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nsid w:val="798365C6"/>
    <w:multiLevelType w:val="multilevel"/>
    <w:tmpl w:val="E67CE66C"/>
    <w:numStyleLink w:val="StyleNumberedLeft0cmHanging075cm"/>
  </w:abstractNum>
  <w:num w:numId="1">
    <w:abstractNumId w:val="29"/>
  </w:num>
  <w:num w:numId="2">
    <w:abstractNumId w:val="36"/>
  </w:num>
  <w:num w:numId="3">
    <w:abstractNumId w:val="25"/>
  </w:num>
  <w:num w:numId="4">
    <w:abstractNumId w:val="20"/>
  </w:num>
  <w:num w:numId="5">
    <w:abstractNumId w:val="32"/>
  </w:num>
  <w:num w:numId="6">
    <w:abstractNumId w:val="37"/>
  </w:num>
  <w:num w:numId="7">
    <w:abstractNumId w:val="24"/>
  </w:num>
  <w:num w:numId="8">
    <w:abstractNumId w:val="22"/>
  </w:num>
  <w:num w:numId="9">
    <w:abstractNumId w:val="13"/>
  </w:num>
  <w:num w:numId="10">
    <w:abstractNumId w:val="15"/>
  </w:num>
  <w:num w:numId="11">
    <w:abstractNumId w:val="28"/>
  </w:num>
  <w:num w:numId="12">
    <w:abstractNumId w:val="26"/>
  </w:num>
  <w:num w:numId="13">
    <w:abstractNumId w:val="10"/>
  </w:num>
  <w:num w:numId="14">
    <w:abstractNumId w:val="39"/>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6"/>
  </w:num>
  <w:num w:numId="16">
    <w:abstractNumId w:val="11"/>
  </w:num>
  <w:num w:numId="17">
    <w:abstractNumId w:val="30"/>
  </w:num>
  <w:num w:numId="18">
    <w:abstractNumId w:val="12"/>
  </w:num>
  <w:num w:numId="19">
    <w:abstractNumId w:val="33"/>
  </w:num>
  <w:num w:numId="20">
    <w:abstractNumId w:val="17"/>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31"/>
  </w:num>
  <w:num w:numId="36">
    <w:abstractNumId w:val="27"/>
  </w:num>
  <w:num w:numId="37">
    <w:abstractNumId w:val="18"/>
  </w:num>
  <w:num w:numId="38">
    <w:abstractNumId w:val="19"/>
  </w:num>
  <w:num w:numId="39">
    <w:abstractNumId w:val="35"/>
  </w:num>
  <w:num w:numId="4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D2"/>
    <w:rsid w:val="000011DF"/>
    <w:rsid w:val="000117D4"/>
    <w:rsid w:val="0001323B"/>
    <w:rsid w:val="000314D7"/>
    <w:rsid w:val="00045F8B"/>
    <w:rsid w:val="00046D2B"/>
    <w:rsid w:val="00056263"/>
    <w:rsid w:val="00064D8A"/>
    <w:rsid w:val="00064F82"/>
    <w:rsid w:val="00066510"/>
    <w:rsid w:val="00077523"/>
    <w:rsid w:val="000C089F"/>
    <w:rsid w:val="000C3928"/>
    <w:rsid w:val="000C4033"/>
    <w:rsid w:val="000C5E8E"/>
    <w:rsid w:val="000F4751"/>
    <w:rsid w:val="000F793E"/>
    <w:rsid w:val="0010524C"/>
    <w:rsid w:val="00111FB1"/>
    <w:rsid w:val="00113418"/>
    <w:rsid w:val="001356F1"/>
    <w:rsid w:val="00136994"/>
    <w:rsid w:val="0014128E"/>
    <w:rsid w:val="00141432"/>
    <w:rsid w:val="00151888"/>
    <w:rsid w:val="001618F8"/>
    <w:rsid w:val="00170A2D"/>
    <w:rsid w:val="00171A04"/>
    <w:rsid w:val="001778BE"/>
    <w:rsid w:val="001808BC"/>
    <w:rsid w:val="00182B81"/>
    <w:rsid w:val="0018619D"/>
    <w:rsid w:val="001A011E"/>
    <w:rsid w:val="001A066A"/>
    <w:rsid w:val="001A13E6"/>
    <w:rsid w:val="001A5731"/>
    <w:rsid w:val="001B42C3"/>
    <w:rsid w:val="001C4D49"/>
    <w:rsid w:val="001C5D5E"/>
    <w:rsid w:val="001D678D"/>
    <w:rsid w:val="001E03F8"/>
    <w:rsid w:val="001E1678"/>
    <w:rsid w:val="001E3376"/>
    <w:rsid w:val="001E3579"/>
    <w:rsid w:val="002069B3"/>
    <w:rsid w:val="00226223"/>
    <w:rsid w:val="002329CF"/>
    <w:rsid w:val="00232F5B"/>
    <w:rsid w:val="00247C29"/>
    <w:rsid w:val="00260467"/>
    <w:rsid w:val="00260E99"/>
    <w:rsid w:val="00263EA3"/>
    <w:rsid w:val="00284F85"/>
    <w:rsid w:val="00290915"/>
    <w:rsid w:val="002979BF"/>
    <w:rsid w:val="002A22E2"/>
    <w:rsid w:val="002A4EA7"/>
    <w:rsid w:val="002C179D"/>
    <w:rsid w:val="002C457C"/>
    <w:rsid w:val="002C64F7"/>
    <w:rsid w:val="002E2617"/>
    <w:rsid w:val="002F35F9"/>
    <w:rsid w:val="002F41F2"/>
    <w:rsid w:val="00301BF3"/>
    <w:rsid w:val="0030208D"/>
    <w:rsid w:val="00312DFD"/>
    <w:rsid w:val="00323418"/>
    <w:rsid w:val="00325071"/>
    <w:rsid w:val="003357BF"/>
    <w:rsid w:val="00364FAD"/>
    <w:rsid w:val="0036738F"/>
    <w:rsid w:val="0036759C"/>
    <w:rsid w:val="00367AE5"/>
    <w:rsid w:val="00367D71"/>
    <w:rsid w:val="0038150A"/>
    <w:rsid w:val="00385848"/>
    <w:rsid w:val="003B6E75"/>
    <w:rsid w:val="003B7DA1"/>
    <w:rsid w:val="003D0379"/>
    <w:rsid w:val="003D2574"/>
    <w:rsid w:val="003D4C59"/>
    <w:rsid w:val="003E67FC"/>
    <w:rsid w:val="003F4267"/>
    <w:rsid w:val="00404032"/>
    <w:rsid w:val="0040736F"/>
    <w:rsid w:val="00412C1F"/>
    <w:rsid w:val="00421CB2"/>
    <w:rsid w:val="004268B9"/>
    <w:rsid w:val="00433B96"/>
    <w:rsid w:val="00435D21"/>
    <w:rsid w:val="004440F1"/>
    <w:rsid w:val="004456DD"/>
    <w:rsid w:val="00446CDF"/>
    <w:rsid w:val="004521B7"/>
    <w:rsid w:val="00462AB5"/>
    <w:rsid w:val="00465EAF"/>
    <w:rsid w:val="004738C5"/>
    <w:rsid w:val="00491046"/>
    <w:rsid w:val="004A2AC7"/>
    <w:rsid w:val="004A6D2F"/>
    <w:rsid w:val="004C1052"/>
    <w:rsid w:val="004C2887"/>
    <w:rsid w:val="004D2626"/>
    <w:rsid w:val="004D6E26"/>
    <w:rsid w:val="004D77D3"/>
    <w:rsid w:val="004E2959"/>
    <w:rsid w:val="004F20EF"/>
    <w:rsid w:val="0050321C"/>
    <w:rsid w:val="00522388"/>
    <w:rsid w:val="00525F21"/>
    <w:rsid w:val="0054712D"/>
    <w:rsid w:val="00547EF6"/>
    <w:rsid w:val="005570B5"/>
    <w:rsid w:val="00567E18"/>
    <w:rsid w:val="00575F5F"/>
    <w:rsid w:val="00581805"/>
    <w:rsid w:val="00585F76"/>
    <w:rsid w:val="005A34E4"/>
    <w:rsid w:val="005B17F2"/>
    <w:rsid w:val="005B7FAD"/>
    <w:rsid w:val="005B7FB0"/>
    <w:rsid w:val="005C2B7F"/>
    <w:rsid w:val="005C35A5"/>
    <w:rsid w:val="005C577C"/>
    <w:rsid w:val="005C7E0B"/>
    <w:rsid w:val="005D0621"/>
    <w:rsid w:val="005D1E27"/>
    <w:rsid w:val="005D2A3E"/>
    <w:rsid w:val="005E022E"/>
    <w:rsid w:val="005E5215"/>
    <w:rsid w:val="005F7F7E"/>
    <w:rsid w:val="00600577"/>
    <w:rsid w:val="00614693"/>
    <w:rsid w:val="00623C2F"/>
    <w:rsid w:val="00633578"/>
    <w:rsid w:val="00637068"/>
    <w:rsid w:val="00650811"/>
    <w:rsid w:val="00661D3E"/>
    <w:rsid w:val="00676246"/>
    <w:rsid w:val="00692627"/>
    <w:rsid w:val="00694FFA"/>
    <w:rsid w:val="006969E7"/>
    <w:rsid w:val="006A3643"/>
    <w:rsid w:val="006B22D2"/>
    <w:rsid w:val="006C29F4"/>
    <w:rsid w:val="006C2A29"/>
    <w:rsid w:val="006C64CF"/>
    <w:rsid w:val="006D17B1"/>
    <w:rsid w:val="006D4752"/>
    <w:rsid w:val="006D708A"/>
    <w:rsid w:val="006E14C1"/>
    <w:rsid w:val="006F0292"/>
    <w:rsid w:val="006F27FA"/>
    <w:rsid w:val="006F416B"/>
    <w:rsid w:val="006F519B"/>
    <w:rsid w:val="00707F73"/>
    <w:rsid w:val="00710AE4"/>
    <w:rsid w:val="00713675"/>
    <w:rsid w:val="00715823"/>
    <w:rsid w:val="00716F81"/>
    <w:rsid w:val="00737B93"/>
    <w:rsid w:val="00745BF0"/>
    <w:rsid w:val="00746FAC"/>
    <w:rsid w:val="007615FE"/>
    <w:rsid w:val="0076655C"/>
    <w:rsid w:val="00773111"/>
    <w:rsid w:val="007742DC"/>
    <w:rsid w:val="00791437"/>
    <w:rsid w:val="007924BE"/>
    <w:rsid w:val="00793174"/>
    <w:rsid w:val="007B0B76"/>
    <w:rsid w:val="007B0C2C"/>
    <w:rsid w:val="007B278E"/>
    <w:rsid w:val="007C5C23"/>
    <w:rsid w:val="007E2A26"/>
    <w:rsid w:val="007F026D"/>
    <w:rsid w:val="007F2348"/>
    <w:rsid w:val="00803F07"/>
    <w:rsid w:val="0080749A"/>
    <w:rsid w:val="00821FB8"/>
    <w:rsid w:val="00822ACD"/>
    <w:rsid w:val="00852EAA"/>
    <w:rsid w:val="00855C66"/>
    <w:rsid w:val="0086357E"/>
    <w:rsid w:val="00871EE4"/>
    <w:rsid w:val="00887250"/>
    <w:rsid w:val="00896258"/>
    <w:rsid w:val="008B293F"/>
    <w:rsid w:val="008B7371"/>
    <w:rsid w:val="008C64AB"/>
    <w:rsid w:val="008D3DDB"/>
    <w:rsid w:val="008E0D2A"/>
    <w:rsid w:val="008E6396"/>
    <w:rsid w:val="008F573F"/>
    <w:rsid w:val="009034EC"/>
    <w:rsid w:val="00923B73"/>
    <w:rsid w:val="0093067A"/>
    <w:rsid w:val="00941C60"/>
    <w:rsid w:val="00966D42"/>
    <w:rsid w:val="00971689"/>
    <w:rsid w:val="00973E90"/>
    <w:rsid w:val="00975B07"/>
    <w:rsid w:val="00977B13"/>
    <w:rsid w:val="00980B4A"/>
    <w:rsid w:val="00986D16"/>
    <w:rsid w:val="00986F97"/>
    <w:rsid w:val="00997047"/>
    <w:rsid w:val="009E3D0A"/>
    <w:rsid w:val="009E51FC"/>
    <w:rsid w:val="009F1D28"/>
    <w:rsid w:val="009F2797"/>
    <w:rsid w:val="009F7618"/>
    <w:rsid w:val="00A04D23"/>
    <w:rsid w:val="00A06766"/>
    <w:rsid w:val="00A0773B"/>
    <w:rsid w:val="00A13765"/>
    <w:rsid w:val="00A21B12"/>
    <w:rsid w:val="00A23F80"/>
    <w:rsid w:val="00A46E98"/>
    <w:rsid w:val="00A53E07"/>
    <w:rsid w:val="00A56E03"/>
    <w:rsid w:val="00A6352B"/>
    <w:rsid w:val="00A701B5"/>
    <w:rsid w:val="00A714BB"/>
    <w:rsid w:val="00A92D8F"/>
    <w:rsid w:val="00AB2988"/>
    <w:rsid w:val="00AB2D4F"/>
    <w:rsid w:val="00AB763B"/>
    <w:rsid w:val="00AB7999"/>
    <w:rsid w:val="00AC3CC4"/>
    <w:rsid w:val="00AD3292"/>
    <w:rsid w:val="00AD4A5D"/>
    <w:rsid w:val="00AD4EA7"/>
    <w:rsid w:val="00AE7AF0"/>
    <w:rsid w:val="00B179DE"/>
    <w:rsid w:val="00B24E18"/>
    <w:rsid w:val="00B25A68"/>
    <w:rsid w:val="00B302FD"/>
    <w:rsid w:val="00B500CA"/>
    <w:rsid w:val="00B50670"/>
    <w:rsid w:val="00B86314"/>
    <w:rsid w:val="00B87875"/>
    <w:rsid w:val="00BA1C2E"/>
    <w:rsid w:val="00BC200B"/>
    <w:rsid w:val="00BC4756"/>
    <w:rsid w:val="00BC69A4"/>
    <w:rsid w:val="00BD54E3"/>
    <w:rsid w:val="00BE0680"/>
    <w:rsid w:val="00BE305F"/>
    <w:rsid w:val="00BE7BA3"/>
    <w:rsid w:val="00BF5682"/>
    <w:rsid w:val="00BF7B09"/>
    <w:rsid w:val="00C00921"/>
    <w:rsid w:val="00C01D44"/>
    <w:rsid w:val="00C10669"/>
    <w:rsid w:val="00C17C35"/>
    <w:rsid w:val="00C20A95"/>
    <w:rsid w:val="00C2692F"/>
    <w:rsid w:val="00C3207C"/>
    <w:rsid w:val="00C400E1"/>
    <w:rsid w:val="00C41187"/>
    <w:rsid w:val="00C53875"/>
    <w:rsid w:val="00C571E2"/>
    <w:rsid w:val="00C63C31"/>
    <w:rsid w:val="00C757A0"/>
    <w:rsid w:val="00C760DE"/>
    <w:rsid w:val="00C82630"/>
    <w:rsid w:val="00C85B4E"/>
    <w:rsid w:val="00C907F7"/>
    <w:rsid w:val="00CA2103"/>
    <w:rsid w:val="00CB6B99"/>
    <w:rsid w:val="00CC2229"/>
    <w:rsid w:val="00CE0037"/>
    <w:rsid w:val="00CE4C87"/>
    <w:rsid w:val="00CE544A"/>
    <w:rsid w:val="00CF538E"/>
    <w:rsid w:val="00D04ED4"/>
    <w:rsid w:val="00D11E1C"/>
    <w:rsid w:val="00D13A0F"/>
    <w:rsid w:val="00D160B0"/>
    <w:rsid w:val="00D17F94"/>
    <w:rsid w:val="00D223FC"/>
    <w:rsid w:val="00D26D1E"/>
    <w:rsid w:val="00D474CF"/>
    <w:rsid w:val="00D478F0"/>
    <w:rsid w:val="00D5547E"/>
    <w:rsid w:val="00D869A1"/>
    <w:rsid w:val="00DA413F"/>
    <w:rsid w:val="00DA4584"/>
    <w:rsid w:val="00DA614B"/>
    <w:rsid w:val="00DC3060"/>
    <w:rsid w:val="00DE0FB2"/>
    <w:rsid w:val="00DE1BCE"/>
    <w:rsid w:val="00DE78E4"/>
    <w:rsid w:val="00DF093E"/>
    <w:rsid w:val="00E01F42"/>
    <w:rsid w:val="00E206D6"/>
    <w:rsid w:val="00E20710"/>
    <w:rsid w:val="00E3366E"/>
    <w:rsid w:val="00E52086"/>
    <w:rsid w:val="00E543A6"/>
    <w:rsid w:val="00E60479"/>
    <w:rsid w:val="00E61D73"/>
    <w:rsid w:val="00E73684"/>
    <w:rsid w:val="00E818D6"/>
    <w:rsid w:val="00E87F7A"/>
    <w:rsid w:val="00E93FF2"/>
    <w:rsid w:val="00E96BD7"/>
    <w:rsid w:val="00EA0DB1"/>
    <w:rsid w:val="00EA0EE9"/>
    <w:rsid w:val="00EC3334"/>
    <w:rsid w:val="00ED52CA"/>
    <w:rsid w:val="00ED5860"/>
    <w:rsid w:val="00EE35C9"/>
    <w:rsid w:val="00F05ECA"/>
    <w:rsid w:val="00F16089"/>
    <w:rsid w:val="00F3566E"/>
    <w:rsid w:val="00F375FB"/>
    <w:rsid w:val="00F41AC1"/>
    <w:rsid w:val="00F4367A"/>
    <w:rsid w:val="00F445B1"/>
    <w:rsid w:val="00F45CD4"/>
    <w:rsid w:val="00F5624E"/>
    <w:rsid w:val="00F66DCA"/>
    <w:rsid w:val="00F74F53"/>
    <w:rsid w:val="00F7606D"/>
    <w:rsid w:val="00F77E8F"/>
    <w:rsid w:val="00F81670"/>
    <w:rsid w:val="00F82024"/>
    <w:rsid w:val="00F95BC9"/>
    <w:rsid w:val="00FA624C"/>
    <w:rsid w:val="00FD0FAC"/>
    <w:rsid w:val="00FD1DFA"/>
    <w:rsid w:val="00FD4966"/>
    <w:rsid w:val="00FE462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2BDB-47B7-4E00-96EC-8263DB7F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80F5F17D</Template>
  <TotalTime>2</TotalTime>
  <Pages>5</Pages>
  <Words>1942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Frances.Evans</dc:creator>
  <cp:lastModifiedBy>catherine.phythian</cp:lastModifiedBy>
  <cp:revision>6</cp:revision>
  <cp:lastPrinted>2016-02-02T10:33:00Z</cp:lastPrinted>
  <dcterms:created xsi:type="dcterms:W3CDTF">2016-02-19T09:11:00Z</dcterms:created>
  <dcterms:modified xsi:type="dcterms:W3CDTF">2016-02-26T10:34:00Z</dcterms:modified>
</cp:coreProperties>
</file>